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162C0B" w14:textId="77777777" w:rsidR="00904B6B" w:rsidRPr="00D744C1" w:rsidRDefault="00904B6B" w:rsidP="00E21A8D">
      <w:pPr>
        <w:rPr>
          <w:b/>
          <w:lang w:eastAsia="en-US"/>
        </w:rPr>
      </w:pPr>
      <w:r w:rsidRPr="004164F6">
        <w:rPr>
          <w:b/>
          <w:lang w:eastAsia="en-US"/>
        </w:rPr>
        <w:t>Důvodová zpráva:</w:t>
      </w:r>
    </w:p>
    <w:p w14:paraId="22A46F19" w14:textId="77777777" w:rsidR="00283129" w:rsidRDefault="00283129" w:rsidP="00F83EF9">
      <w:pPr>
        <w:spacing w:before="0"/>
        <w:rPr>
          <w:szCs w:val="24"/>
        </w:rPr>
      </w:pPr>
    </w:p>
    <w:p w14:paraId="1946E867" w14:textId="16AC2A43" w:rsidR="00A132C2" w:rsidRPr="003F11DB" w:rsidRDefault="006D24DF" w:rsidP="003F11DB">
      <w:pPr>
        <w:pStyle w:val="slo1text"/>
        <w:spacing w:line="276" w:lineRule="auto"/>
        <w:rPr>
          <w:b/>
        </w:rPr>
      </w:pPr>
      <w:r w:rsidRPr="006D24DF">
        <w:rPr>
          <w:b/>
        </w:rPr>
        <w:t xml:space="preserve">V této důvodové zprávě předkládá Rada Olomouckého kraje Zastupitelstvu Olomouckého kraje k projednání </w:t>
      </w:r>
      <w:r w:rsidR="00A132C2" w:rsidRPr="00A132C2">
        <w:rPr>
          <w:b/>
        </w:rPr>
        <w:t>Akční plán rozvoje sociálních služeb Olomouckého kraje na rok 202</w:t>
      </w:r>
      <w:r w:rsidR="006A3DFC">
        <w:rPr>
          <w:b/>
        </w:rPr>
        <w:t>6</w:t>
      </w:r>
      <w:r w:rsidR="00A132C2" w:rsidRPr="00A132C2">
        <w:rPr>
          <w:b/>
          <w:i/>
        </w:rPr>
        <w:t xml:space="preserve"> </w:t>
      </w:r>
      <w:r w:rsidR="00A132C2" w:rsidRPr="00A132C2">
        <w:rPr>
          <w:b/>
        </w:rPr>
        <w:t>včetně sítě sociálních služ</w:t>
      </w:r>
      <w:r w:rsidR="00230B6D">
        <w:rPr>
          <w:b/>
        </w:rPr>
        <w:t>eb Olomouckého kraje na rok 202</w:t>
      </w:r>
      <w:r w:rsidR="006A3DFC">
        <w:rPr>
          <w:b/>
        </w:rPr>
        <w:t>6</w:t>
      </w:r>
      <w:r w:rsidR="00A132C2" w:rsidRPr="00A132C2">
        <w:rPr>
          <w:b/>
        </w:rPr>
        <w:t xml:space="preserve">, </w:t>
      </w:r>
      <w:r w:rsidR="00E22E1A">
        <w:rPr>
          <w:b/>
        </w:rPr>
        <w:t>který je</w:t>
      </w:r>
      <w:r w:rsidR="00E22E1A" w:rsidRPr="00A132C2">
        <w:rPr>
          <w:b/>
        </w:rPr>
        <w:t xml:space="preserve"> </w:t>
      </w:r>
      <w:r w:rsidR="00A132C2" w:rsidRPr="00A132C2">
        <w:rPr>
          <w:b/>
        </w:rPr>
        <w:t>podklad</w:t>
      </w:r>
      <w:r w:rsidR="00E22E1A">
        <w:rPr>
          <w:b/>
        </w:rPr>
        <w:t>em</w:t>
      </w:r>
      <w:r w:rsidR="00A132C2" w:rsidRPr="00A132C2">
        <w:rPr>
          <w:b/>
        </w:rPr>
        <w:t xml:space="preserve"> pro žádost o</w:t>
      </w:r>
      <w:r w:rsidR="008C14C4">
        <w:rPr>
          <w:b/>
        </w:rPr>
        <w:t> </w:t>
      </w:r>
      <w:r w:rsidR="00A132C2" w:rsidRPr="00A132C2">
        <w:rPr>
          <w:b/>
        </w:rPr>
        <w:t>poskytnutí účelově určené dotace ze státního rozpočtu na financování běžných výdajů souvisejících s poskytováním základních druhů a forem sociálních služeb na</w:t>
      </w:r>
      <w:r w:rsidR="008C14C4">
        <w:rPr>
          <w:b/>
        </w:rPr>
        <w:t> </w:t>
      </w:r>
      <w:r w:rsidR="00A132C2" w:rsidRPr="00A132C2">
        <w:rPr>
          <w:b/>
        </w:rPr>
        <w:t>rok 202</w:t>
      </w:r>
      <w:r w:rsidR="006A3DFC">
        <w:rPr>
          <w:b/>
        </w:rPr>
        <w:t>6</w:t>
      </w:r>
      <w:r w:rsidR="00AA38EE">
        <w:rPr>
          <w:b/>
        </w:rPr>
        <w:t>.</w:t>
      </w:r>
    </w:p>
    <w:p w14:paraId="504E747C" w14:textId="77777777" w:rsidR="00134EF1" w:rsidRDefault="00134EF1" w:rsidP="00F83EF9">
      <w:pPr>
        <w:spacing w:before="0"/>
        <w:rPr>
          <w:szCs w:val="24"/>
        </w:rPr>
      </w:pPr>
    </w:p>
    <w:p w14:paraId="6CD7944F" w14:textId="77777777" w:rsidR="00C0111E" w:rsidRPr="00FD2F35" w:rsidRDefault="00540AE4" w:rsidP="001A2B79">
      <w:pPr>
        <w:rPr>
          <w:szCs w:val="24"/>
        </w:rPr>
      </w:pPr>
      <w:r>
        <w:t xml:space="preserve">Podle současné legislativní úpravy je krajům svěřena stěžejní působnost v oblasti zajištění </w:t>
      </w:r>
      <w:r w:rsidR="00393CFC" w:rsidRPr="001C5AF7">
        <w:t>dostupnosti</w:t>
      </w:r>
      <w:r w:rsidR="00393CFC">
        <w:rPr>
          <w:color w:val="FF0000"/>
        </w:rPr>
        <w:t xml:space="preserve"> </w:t>
      </w:r>
      <w:r>
        <w:t>sociálních služeb</w:t>
      </w:r>
      <w:r w:rsidR="00C0111E">
        <w:t xml:space="preserve"> i jejich financování</w:t>
      </w:r>
      <w:r>
        <w:t xml:space="preserve">. </w:t>
      </w:r>
      <w:r w:rsidR="00C068BE">
        <w:t xml:space="preserve">Olomoucký kraj </w:t>
      </w:r>
      <w:r w:rsidR="005A2019">
        <w:t xml:space="preserve">(dále také „OK“) </w:t>
      </w:r>
      <w:r w:rsidR="00C068BE">
        <w:t xml:space="preserve">postupuje </w:t>
      </w:r>
      <w:r w:rsidR="001E4423">
        <w:t xml:space="preserve">při </w:t>
      </w:r>
      <w:r w:rsidR="00393CFC" w:rsidRPr="001C5AF7">
        <w:t xml:space="preserve">naplňování těchto kompetencí </w:t>
      </w:r>
      <w:r w:rsidR="00C068BE">
        <w:t xml:space="preserve">v souladu s </w:t>
      </w:r>
      <w:r w:rsidR="00C068BE" w:rsidRPr="008A250F">
        <w:rPr>
          <w:u w:val="single"/>
        </w:rPr>
        <w:t xml:space="preserve">§ 95 </w:t>
      </w:r>
      <w:r w:rsidR="00C068BE">
        <w:rPr>
          <w:u w:val="single"/>
        </w:rPr>
        <w:t xml:space="preserve">a </w:t>
      </w:r>
      <w:r w:rsidR="00C068BE" w:rsidRPr="008A250F">
        <w:rPr>
          <w:szCs w:val="24"/>
          <w:u w:val="single"/>
        </w:rPr>
        <w:t>§ 101a</w:t>
      </w:r>
      <w:r w:rsidR="00C068BE" w:rsidRPr="008A250F">
        <w:rPr>
          <w:u w:val="single"/>
        </w:rPr>
        <w:t xml:space="preserve"> zákona č.</w:t>
      </w:r>
      <w:r w:rsidR="003C7F96">
        <w:rPr>
          <w:u w:val="single"/>
        </w:rPr>
        <w:t> </w:t>
      </w:r>
      <w:r w:rsidR="00C068BE" w:rsidRPr="008A250F">
        <w:rPr>
          <w:u w:val="single"/>
        </w:rPr>
        <w:t xml:space="preserve">108/2006 Sb., </w:t>
      </w:r>
      <w:r w:rsidR="00C068BE">
        <w:rPr>
          <w:u w:val="single"/>
        </w:rPr>
        <w:t>o</w:t>
      </w:r>
      <w:r w:rsidR="00230B6D">
        <w:rPr>
          <w:u w:val="single"/>
        </w:rPr>
        <w:t> </w:t>
      </w:r>
      <w:r w:rsidR="00C068BE">
        <w:rPr>
          <w:u w:val="single"/>
        </w:rPr>
        <w:t xml:space="preserve">sociálních službách, </w:t>
      </w:r>
      <w:r w:rsidR="00C068BE" w:rsidRPr="008A250F">
        <w:rPr>
          <w:u w:val="single"/>
        </w:rPr>
        <w:t>ve znění pozdějších předpisů (dále jen „zákon o</w:t>
      </w:r>
      <w:r w:rsidR="003C7F96">
        <w:rPr>
          <w:u w:val="single"/>
        </w:rPr>
        <w:t> </w:t>
      </w:r>
      <w:r w:rsidR="00C068BE" w:rsidRPr="008A250F">
        <w:rPr>
          <w:u w:val="single"/>
        </w:rPr>
        <w:t>sociálních službách“)</w:t>
      </w:r>
      <w:r w:rsidR="001E4423">
        <w:rPr>
          <w:u w:val="single"/>
        </w:rPr>
        <w:t>.</w:t>
      </w:r>
      <w:r w:rsidR="00C068BE">
        <w:rPr>
          <w:u w:val="single"/>
        </w:rPr>
        <w:t xml:space="preserve"> </w:t>
      </w:r>
    </w:p>
    <w:p w14:paraId="25617DAE" w14:textId="1104F6D2" w:rsidR="00A84DE6" w:rsidRDefault="008A250F" w:rsidP="001A2B79">
      <w:pPr>
        <w:rPr>
          <w:szCs w:val="24"/>
        </w:rPr>
      </w:pPr>
      <w:r w:rsidRPr="00FD2F35">
        <w:rPr>
          <w:szCs w:val="24"/>
        </w:rPr>
        <w:t xml:space="preserve">Olomoucký kraj </w:t>
      </w:r>
      <w:r w:rsidR="00913E99" w:rsidRPr="00FD2F35">
        <w:rPr>
          <w:szCs w:val="24"/>
        </w:rPr>
        <w:t xml:space="preserve">je </w:t>
      </w:r>
      <w:r w:rsidR="00126A81" w:rsidRPr="00FD2F35">
        <w:rPr>
          <w:szCs w:val="24"/>
        </w:rPr>
        <w:t>povinen</w:t>
      </w:r>
      <w:r w:rsidR="00126A81">
        <w:rPr>
          <w:szCs w:val="24"/>
        </w:rPr>
        <w:t xml:space="preserve"> </w:t>
      </w:r>
      <w:r w:rsidR="00913E99">
        <w:rPr>
          <w:szCs w:val="24"/>
        </w:rPr>
        <w:t xml:space="preserve">pro </w:t>
      </w:r>
      <w:r w:rsidR="00913E99" w:rsidRPr="00FD2F35">
        <w:rPr>
          <w:szCs w:val="24"/>
        </w:rPr>
        <w:t>získ</w:t>
      </w:r>
      <w:r w:rsidR="00913E99">
        <w:rPr>
          <w:szCs w:val="24"/>
        </w:rPr>
        <w:t>ání</w:t>
      </w:r>
      <w:r w:rsidR="00913E99" w:rsidRPr="00FD2F35">
        <w:rPr>
          <w:szCs w:val="24"/>
        </w:rPr>
        <w:t xml:space="preserve"> </w:t>
      </w:r>
      <w:r w:rsidR="00393CFC" w:rsidRPr="001C5AF7">
        <w:rPr>
          <w:szCs w:val="24"/>
        </w:rPr>
        <w:t>účelově určené</w:t>
      </w:r>
      <w:r w:rsidR="00393CFC">
        <w:rPr>
          <w:color w:val="FF0000"/>
          <w:szCs w:val="24"/>
        </w:rPr>
        <w:t xml:space="preserve"> </w:t>
      </w:r>
      <w:r w:rsidR="00913E99" w:rsidRPr="00FD2F35">
        <w:rPr>
          <w:szCs w:val="24"/>
        </w:rPr>
        <w:t>dotac</w:t>
      </w:r>
      <w:r w:rsidR="00913E99">
        <w:rPr>
          <w:szCs w:val="24"/>
        </w:rPr>
        <w:t>e</w:t>
      </w:r>
      <w:r w:rsidR="00913E99" w:rsidRPr="00FD2F35">
        <w:rPr>
          <w:szCs w:val="24"/>
        </w:rPr>
        <w:t xml:space="preserve"> ze státního rozpočtu na</w:t>
      </w:r>
      <w:r w:rsidR="00C7293B">
        <w:rPr>
          <w:szCs w:val="24"/>
        </w:rPr>
        <w:t> </w:t>
      </w:r>
      <w:r w:rsidR="00913E99" w:rsidRPr="00FD2F35">
        <w:rPr>
          <w:szCs w:val="24"/>
        </w:rPr>
        <w:t>financování sociáln</w:t>
      </w:r>
      <w:r w:rsidR="008E37E7">
        <w:rPr>
          <w:szCs w:val="24"/>
        </w:rPr>
        <w:t>í</w:t>
      </w:r>
      <w:r w:rsidR="00982BF8">
        <w:rPr>
          <w:szCs w:val="24"/>
        </w:rPr>
        <w:t xml:space="preserve">ch služeb na rozpočtový rok </w:t>
      </w:r>
      <w:r w:rsidR="00230B6D">
        <w:rPr>
          <w:szCs w:val="24"/>
        </w:rPr>
        <w:t>202</w:t>
      </w:r>
      <w:r w:rsidR="006A3DFC">
        <w:rPr>
          <w:szCs w:val="24"/>
        </w:rPr>
        <w:t>6</w:t>
      </w:r>
      <w:r w:rsidR="00B4586F">
        <w:rPr>
          <w:szCs w:val="24"/>
        </w:rPr>
        <w:t xml:space="preserve"> </w:t>
      </w:r>
      <w:r w:rsidR="00913E99" w:rsidRPr="00FD2F35">
        <w:rPr>
          <w:szCs w:val="24"/>
        </w:rPr>
        <w:t xml:space="preserve">podat žádost o dotaci ve lhůtě stanovené </w:t>
      </w:r>
      <w:r w:rsidR="00393CFC" w:rsidRPr="001C5AF7">
        <w:rPr>
          <w:szCs w:val="24"/>
        </w:rPr>
        <w:t>Ministerstvem práce a sociálních věcí ČR (dále jen „</w:t>
      </w:r>
      <w:r w:rsidR="00452330">
        <w:rPr>
          <w:szCs w:val="24"/>
        </w:rPr>
        <w:t>MPSV ČR</w:t>
      </w:r>
      <w:r w:rsidR="00393CFC" w:rsidRPr="001C5AF7">
        <w:rPr>
          <w:szCs w:val="24"/>
        </w:rPr>
        <w:t>“)</w:t>
      </w:r>
      <w:r w:rsidR="00913E99" w:rsidRPr="001C5AF7">
        <w:rPr>
          <w:szCs w:val="24"/>
        </w:rPr>
        <w:t xml:space="preserve"> </w:t>
      </w:r>
      <w:r w:rsidR="00913E99" w:rsidRPr="00FD2F35">
        <w:rPr>
          <w:szCs w:val="24"/>
        </w:rPr>
        <w:t>při</w:t>
      </w:r>
      <w:r w:rsidR="001456AE">
        <w:rPr>
          <w:szCs w:val="24"/>
        </w:rPr>
        <w:t> </w:t>
      </w:r>
      <w:r w:rsidR="00913E99" w:rsidRPr="00FD2F35">
        <w:rPr>
          <w:szCs w:val="24"/>
        </w:rPr>
        <w:t xml:space="preserve">vyhlášení dotačního řízení v oblasti podpory sociálních služeb na příslušný kalendářní rok, </w:t>
      </w:r>
      <w:r w:rsidR="00913E99" w:rsidRPr="00FD2F35">
        <w:rPr>
          <w:szCs w:val="24"/>
          <w:u w:val="single"/>
        </w:rPr>
        <w:t>nejpozději však do</w:t>
      </w:r>
      <w:r w:rsidR="00EC2812">
        <w:rPr>
          <w:szCs w:val="24"/>
          <w:u w:val="single"/>
        </w:rPr>
        <w:t> </w:t>
      </w:r>
      <w:r w:rsidR="00913E99" w:rsidRPr="00FD2F35">
        <w:rPr>
          <w:szCs w:val="24"/>
          <w:u w:val="single"/>
        </w:rPr>
        <w:t>31.</w:t>
      </w:r>
      <w:r w:rsidR="00A57A7B">
        <w:rPr>
          <w:szCs w:val="24"/>
          <w:u w:val="single"/>
        </w:rPr>
        <w:t> </w:t>
      </w:r>
      <w:r w:rsidR="00913E99">
        <w:rPr>
          <w:szCs w:val="24"/>
          <w:u w:val="single"/>
        </w:rPr>
        <w:t>č</w:t>
      </w:r>
      <w:r w:rsidR="00913E99" w:rsidRPr="00FD2F35">
        <w:rPr>
          <w:szCs w:val="24"/>
          <w:u w:val="single"/>
        </w:rPr>
        <w:t>ervence</w:t>
      </w:r>
      <w:r w:rsidR="00913E99">
        <w:rPr>
          <w:szCs w:val="24"/>
          <w:u w:val="single"/>
        </w:rPr>
        <w:t xml:space="preserve"> </w:t>
      </w:r>
      <w:r w:rsidR="00D47AAF">
        <w:rPr>
          <w:szCs w:val="24"/>
          <w:u w:val="single"/>
        </w:rPr>
        <w:t>2025</w:t>
      </w:r>
      <w:r w:rsidR="006E0C78">
        <w:rPr>
          <w:szCs w:val="24"/>
          <w:u w:val="single"/>
        </w:rPr>
        <w:t xml:space="preserve"> (§ 2 nařízení vlády č. 98/2015 Sb., o provedení § 101a zákona o</w:t>
      </w:r>
      <w:r w:rsidR="00230B6D">
        <w:rPr>
          <w:szCs w:val="24"/>
          <w:u w:val="single"/>
        </w:rPr>
        <w:t> </w:t>
      </w:r>
      <w:r w:rsidR="006E0C78">
        <w:rPr>
          <w:szCs w:val="24"/>
          <w:u w:val="single"/>
        </w:rPr>
        <w:t>sociálních službách, ve znění nařízení vlády č. 387/2021 Sb.)</w:t>
      </w:r>
      <w:r w:rsidR="00913E99">
        <w:rPr>
          <w:szCs w:val="24"/>
          <w:u w:val="single"/>
        </w:rPr>
        <w:t>.</w:t>
      </w:r>
      <w:r w:rsidR="00174E34" w:rsidRPr="00FD2F35">
        <w:rPr>
          <w:szCs w:val="24"/>
        </w:rPr>
        <w:t xml:space="preserve"> </w:t>
      </w:r>
    </w:p>
    <w:p w14:paraId="281F541B" w14:textId="77777777" w:rsidR="001E305F" w:rsidRDefault="001E305F" w:rsidP="001A2B79">
      <w:pPr>
        <w:rPr>
          <w:szCs w:val="24"/>
        </w:rPr>
      </w:pPr>
      <w:r w:rsidRPr="00E53233">
        <w:rPr>
          <w:szCs w:val="24"/>
        </w:rPr>
        <w:t xml:space="preserve">Výši dotace kraji stanoví </w:t>
      </w:r>
      <w:r w:rsidR="00452330">
        <w:rPr>
          <w:szCs w:val="24"/>
        </w:rPr>
        <w:t xml:space="preserve">MPSV ČR </w:t>
      </w:r>
      <w:r w:rsidRPr="00E53233">
        <w:rPr>
          <w:szCs w:val="24"/>
        </w:rPr>
        <w:t>ve výši procentního podílu kraje na celkovém ročním objemu finančních prostředků vyčleněných ve státním rozpočtu na podporu sociálních služeb pro příslušný rozpočtový rok; výše procentního podílu kra</w:t>
      </w:r>
      <w:r>
        <w:rPr>
          <w:szCs w:val="24"/>
        </w:rPr>
        <w:t>je je uvedena v příloze k </w:t>
      </w:r>
      <w:r w:rsidRPr="00E53233">
        <w:rPr>
          <w:szCs w:val="24"/>
        </w:rPr>
        <w:t>zákonu</w:t>
      </w:r>
      <w:r>
        <w:rPr>
          <w:szCs w:val="24"/>
        </w:rPr>
        <w:t xml:space="preserve"> o</w:t>
      </w:r>
      <w:r w:rsidR="00676734">
        <w:rPr>
          <w:szCs w:val="24"/>
        </w:rPr>
        <w:t> </w:t>
      </w:r>
      <w:r>
        <w:rPr>
          <w:szCs w:val="24"/>
        </w:rPr>
        <w:t>sociálních službách</w:t>
      </w:r>
      <w:r w:rsidRPr="00E53233">
        <w:rPr>
          <w:szCs w:val="24"/>
        </w:rPr>
        <w:t>.</w:t>
      </w:r>
      <w:r>
        <w:rPr>
          <w:szCs w:val="24"/>
        </w:rPr>
        <w:t xml:space="preserve"> Pro Olomoucký kraj je výše citovaného podílu stanovena </w:t>
      </w:r>
      <w:r w:rsidRPr="00393CFC">
        <w:rPr>
          <w:szCs w:val="24"/>
          <w:u w:val="single"/>
        </w:rPr>
        <w:t>na 7,81</w:t>
      </w:r>
      <w:r w:rsidR="00B355D5">
        <w:rPr>
          <w:szCs w:val="24"/>
          <w:u w:val="single"/>
        </w:rPr>
        <w:t xml:space="preserve"> </w:t>
      </w:r>
      <w:r w:rsidRPr="00393CFC">
        <w:rPr>
          <w:szCs w:val="24"/>
          <w:u w:val="single"/>
        </w:rPr>
        <w:t>%.</w:t>
      </w:r>
    </w:p>
    <w:p w14:paraId="54EA45C2" w14:textId="77777777" w:rsidR="00A84DE6" w:rsidRPr="00453B39" w:rsidRDefault="00174E34" w:rsidP="001A2B79">
      <w:pPr>
        <w:rPr>
          <w:noProof/>
        </w:rPr>
      </w:pPr>
      <w:r w:rsidRPr="00A84DE6">
        <w:rPr>
          <w:szCs w:val="24"/>
        </w:rPr>
        <w:t xml:space="preserve">Povinnou součástí žádosti </w:t>
      </w:r>
      <w:r w:rsidR="001E305F">
        <w:rPr>
          <w:szCs w:val="24"/>
        </w:rPr>
        <w:t xml:space="preserve">kraje </w:t>
      </w:r>
      <w:r w:rsidRPr="00A84DE6">
        <w:rPr>
          <w:szCs w:val="24"/>
        </w:rPr>
        <w:t xml:space="preserve">je mimo jiné </w:t>
      </w:r>
      <w:r w:rsidR="006E0C78">
        <w:rPr>
          <w:szCs w:val="24"/>
        </w:rPr>
        <w:t xml:space="preserve">střednědobý plán rozvoje sociálních služeb kraje, který obsahuje ekonomickou analýzu v plánu identifikovaných potřeb a způsob jejich finančního zajištění. Součástí žádosti tak bude </w:t>
      </w:r>
      <w:r w:rsidR="00067938" w:rsidRPr="00A84DE6">
        <w:rPr>
          <w:szCs w:val="24"/>
        </w:rPr>
        <w:t>S</w:t>
      </w:r>
      <w:r w:rsidRPr="00A84DE6">
        <w:rPr>
          <w:szCs w:val="24"/>
        </w:rPr>
        <w:t>třednědobý plán rozvoje sociálních služeb</w:t>
      </w:r>
      <w:r w:rsidR="00EF5B62">
        <w:rPr>
          <w:szCs w:val="24"/>
        </w:rPr>
        <w:t xml:space="preserve"> v</w:t>
      </w:r>
      <w:r w:rsidR="00D744C1">
        <w:rPr>
          <w:szCs w:val="24"/>
        </w:rPr>
        <w:t> </w:t>
      </w:r>
      <w:r w:rsidR="00067938" w:rsidRPr="00A84DE6">
        <w:rPr>
          <w:szCs w:val="24"/>
        </w:rPr>
        <w:t>Olomou</w:t>
      </w:r>
      <w:r w:rsidR="00EF5B62">
        <w:rPr>
          <w:szCs w:val="24"/>
        </w:rPr>
        <w:t>ckém</w:t>
      </w:r>
      <w:r w:rsidR="00067938" w:rsidRPr="00A84DE6">
        <w:rPr>
          <w:szCs w:val="24"/>
        </w:rPr>
        <w:t xml:space="preserve"> </w:t>
      </w:r>
      <w:r w:rsidR="00EF5B62">
        <w:rPr>
          <w:szCs w:val="24"/>
        </w:rPr>
        <w:t>kraji</w:t>
      </w:r>
      <w:r w:rsidR="00067938" w:rsidRPr="00A84DE6">
        <w:rPr>
          <w:szCs w:val="24"/>
        </w:rPr>
        <w:t xml:space="preserve"> </w:t>
      </w:r>
      <w:r w:rsidR="00230B6D">
        <w:rPr>
          <w:noProof/>
        </w:rPr>
        <w:t>pro roky 2024–2026</w:t>
      </w:r>
      <w:r w:rsidR="00067938" w:rsidRPr="00067938">
        <w:rPr>
          <w:noProof/>
        </w:rPr>
        <w:t xml:space="preserve"> (dále jen </w:t>
      </w:r>
      <w:r w:rsidR="00067938">
        <w:rPr>
          <w:noProof/>
        </w:rPr>
        <w:t>„</w:t>
      </w:r>
      <w:r w:rsidR="00067938" w:rsidRPr="00067938">
        <w:rPr>
          <w:noProof/>
        </w:rPr>
        <w:t>SP</w:t>
      </w:r>
      <w:r w:rsidR="00EC2812">
        <w:rPr>
          <w:noProof/>
        </w:rPr>
        <w:t>RSS</w:t>
      </w:r>
      <w:r w:rsidR="00230B6D">
        <w:rPr>
          <w:noProof/>
        </w:rPr>
        <w:t xml:space="preserve"> 2024–2026</w:t>
      </w:r>
      <w:r w:rsidR="00067938">
        <w:rPr>
          <w:noProof/>
        </w:rPr>
        <w:t>“</w:t>
      </w:r>
      <w:r w:rsidR="00067938" w:rsidRPr="00067938">
        <w:rPr>
          <w:noProof/>
        </w:rPr>
        <w:t>)</w:t>
      </w:r>
      <w:r w:rsidR="00067938" w:rsidRPr="00A84DE6">
        <w:rPr>
          <w:i/>
          <w:noProof/>
          <w:color w:val="FF0000"/>
        </w:rPr>
        <w:t xml:space="preserve"> </w:t>
      </w:r>
      <w:r w:rsidR="00067938" w:rsidRPr="00067938">
        <w:rPr>
          <w:noProof/>
        </w:rPr>
        <w:t>schválen</w:t>
      </w:r>
      <w:r w:rsidR="00067938">
        <w:rPr>
          <w:noProof/>
        </w:rPr>
        <w:t>ý</w:t>
      </w:r>
      <w:r w:rsidR="00067938" w:rsidRPr="00067938">
        <w:rPr>
          <w:noProof/>
        </w:rPr>
        <w:t xml:space="preserve"> Zastupitelstvem Olomouckého kraje usne</w:t>
      </w:r>
      <w:r w:rsidR="008D5AF6">
        <w:rPr>
          <w:noProof/>
        </w:rPr>
        <w:t>sením č. UZ/12/78/20</w:t>
      </w:r>
      <w:r w:rsidR="0093048D">
        <w:rPr>
          <w:noProof/>
        </w:rPr>
        <w:t>2</w:t>
      </w:r>
      <w:r w:rsidR="008D5AF6">
        <w:rPr>
          <w:noProof/>
        </w:rPr>
        <w:t>2 ze dne 12</w:t>
      </w:r>
      <w:r w:rsidR="00FB779E">
        <w:rPr>
          <w:noProof/>
        </w:rPr>
        <w:t>. 12</w:t>
      </w:r>
      <w:r w:rsidR="008D5AF6">
        <w:rPr>
          <w:noProof/>
        </w:rPr>
        <w:t>. 2022</w:t>
      </w:r>
      <w:r w:rsidR="006E0C78">
        <w:rPr>
          <w:noProof/>
        </w:rPr>
        <w:t>, který</w:t>
      </w:r>
      <w:r w:rsidR="008D5AF6">
        <w:rPr>
          <w:noProof/>
        </w:rPr>
        <w:t xml:space="preserve"> stanovuje</w:t>
      </w:r>
      <w:r w:rsidR="006E0C78">
        <w:rPr>
          <w:noProof/>
        </w:rPr>
        <w:t xml:space="preserve"> také </w:t>
      </w:r>
      <w:r w:rsidR="00A84DE6">
        <w:rPr>
          <w:noProof/>
        </w:rPr>
        <w:t>povinnost</w:t>
      </w:r>
      <w:r w:rsidR="00453B39">
        <w:rPr>
          <w:noProof/>
        </w:rPr>
        <w:t xml:space="preserve"> zpracování jednoletých prováděcích dokumentů – </w:t>
      </w:r>
      <w:r w:rsidR="00453B39" w:rsidRPr="006E7E2A">
        <w:rPr>
          <w:noProof/>
          <w:u w:val="single"/>
        </w:rPr>
        <w:t>Akčních plánů</w:t>
      </w:r>
      <w:r w:rsidR="004F5BAB" w:rsidRPr="006E7E2A">
        <w:rPr>
          <w:noProof/>
          <w:u w:val="single"/>
        </w:rPr>
        <w:t xml:space="preserve"> rozvoje sociálních služeb</w:t>
      </w:r>
      <w:r w:rsidR="004F5BAB">
        <w:rPr>
          <w:noProof/>
        </w:rPr>
        <w:t xml:space="preserve">, </w:t>
      </w:r>
      <w:r w:rsidR="00453B39">
        <w:rPr>
          <w:noProof/>
        </w:rPr>
        <w:t xml:space="preserve">které </w:t>
      </w:r>
      <w:r w:rsidR="00453B39" w:rsidRPr="00453B39">
        <w:rPr>
          <w:noProof/>
        </w:rPr>
        <w:t>defin</w:t>
      </w:r>
      <w:r w:rsidR="00453B39">
        <w:rPr>
          <w:noProof/>
        </w:rPr>
        <w:t>ují</w:t>
      </w:r>
      <w:r w:rsidR="00453B39" w:rsidRPr="00453B39">
        <w:rPr>
          <w:noProof/>
        </w:rPr>
        <w:t xml:space="preserve"> síť sociálních služeb na území Olomouckého kraje na daný rok a </w:t>
      </w:r>
      <w:r w:rsidR="00453B39" w:rsidRPr="001456AE">
        <w:rPr>
          <w:noProof/>
        </w:rPr>
        <w:t>stanovují</w:t>
      </w:r>
      <w:r w:rsidR="00453B39" w:rsidRPr="00453B39">
        <w:rPr>
          <w:noProof/>
        </w:rPr>
        <w:t xml:space="preserve"> požadovanou výši dotace ze státního rozpočtu na částečné finanční zajištění služeb zařazených v síti na</w:t>
      </w:r>
      <w:r w:rsidR="000D2F90">
        <w:rPr>
          <w:noProof/>
        </w:rPr>
        <w:t> </w:t>
      </w:r>
      <w:r w:rsidR="00453B39" w:rsidRPr="00453B39">
        <w:rPr>
          <w:noProof/>
        </w:rPr>
        <w:t>příslušný rozpočtový rok</w:t>
      </w:r>
      <w:r w:rsidR="00EC2812">
        <w:rPr>
          <w:szCs w:val="24"/>
          <w:lang w:eastAsia="en-US"/>
        </w:rPr>
        <w:t xml:space="preserve"> a </w:t>
      </w:r>
      <w:r w:rsidR="00453B39" w:rsidRPr="00453B39">
        <w:rPr>
          <w:szCs w:val="24"/>
          <w:lang w:eastAsia="en-US"/>
        </w:rPr>
        <w:t>předpokládaný požadavek na výši dotace na následující 2</w:t>
      </w:r>
      <w:r w:rsidR="000D2F90">
        <w:rPr>
          <w:szCs w:val="24"/>
          <w:lang w:eastAsia="en-US"/>
        </w:rPr>
        <w:t> </w:t>
      </w:r>
      <w:r w:rsidR="00453B39" w:rsidRPr="00453B39">
        <w:rPr>
          <w:szCs w:val="24"/>
          <w:lang w:eastAsia="en-US"/>
        </w:rPr>
        <w:t>rozpočtové roky</w:t>
      </w:r>
      <w:r w:rsidR="00453B39">
        <w:rPr>
          <w:szCs w:val="24"/>
          <w:lang w:eastAsia="en-US"/>
        </w:rPr>
        <w:t>.</w:t>
      </w:r>
    </w:p>
    <w:p w14:paraId="3A82F4ED" w14:textId="428C29BF" w:rsidR="00453B39" w:rsidRPr="00810490" w:rsidRDefault="00453B39" w:rsidP="001A2B79">
      <w:pPr>
        <w:keepNext/>
        <w:keepLines/>
        <w:pBdr>
          <w:bottom w:val="single" w:sz="4" w:space="1" w:color="000000"/>
        </w:pBdr>
        <w:spacing w:before="480" w:after="240"/>
        <w:outlineLvl w:val="1"/>
        <w:rPr>
          <w:rFonts w:eastAsiaTheme="majorEastAsia"/>
          <w:b/>
          <w:bCs/>
          <w:color w:val="000000" w:themeColor="text1"/>
          <w:sz w:val="28"/>
          <w:szCs w:val="28"/>
        </w:rPr>
      </w:pPr>
      <w:r w:rsidRPr="00810490">
        <w:rPr>
          <w:rFonts w:eastAsiaTheme="majorEastAsia"/>
          <w:b/>
          <w:bCs/>
          <w:color w:val="000000" w:themeColor="text1"/>
          <w:sz w:val="28"/>
          <w:szCs w:val="28"/>
        </w:rPr>
        <w:t>Akční plán rozvoje sociálních slu</w:t>
      </w:r>
      <w:r w:rsidR="008E37E7" w:rsidRPr="00810490">
        <w:rPr>
          <w:rFonts w:eastAsiaTheme="majorEastAsia"/>
          <w:b/>
          <w:bCs/>
          <w:color w:val="000000" w:themeColor="text1"/>
          <w:sz w:val="28"/>
          <w:szCs w:val="28"/>
        </w:rPr>
        <w:t>ž</w:t>
      </w:r>
      <w:r w:rsidR="00982BF8" w:rsidRPr="00810490">
        <w:rPr>
          <w:rFonts w:eastAsiaTheme="majorEastAsia"/>
          <w:b/>
          <w:bCs/>
          <w:color w:val="000000" w:themeColor="text1"/>
          <w:sz w:val="28"/>
          <w:szCs w:val="28"/>
        </w:rPr>
        <w:t>eb Olomouckého kraje na rok 202</w:t>
      </w:r>
      <w:r w:rsidR="00D47AAF">
        <w:rPr>
          <w:rFonts w:eastAsiaTheme="majorEastAsia"/>
          <w:b/>
          <w:bCs/>
          <w:color w:val="000000" w:themeColor="text1"/>
          <w:sz w:val="28"/>
          <w:szCs w:val="28"/>
        </w:rPr>
        <w:t>6</w:t>
      </w:r>
    </w:p>
    <w:p w14:paraId="4CFAEC95" w14:textId="3D19502C" w:rsidR="00C30EB2" w:rsidRPr="00E36C4B" w:rsidRDefault="00C30EB2" w:rsidP="001A2B79">
      <w:r>
        <w:t>Akční plán rozvoje sociálních služeb</w:t>
      </w:r>
      <w:r w:rsidR="003606BD">
        <w:t xml:space="preserve"> Olomouckého kraje</w:t>
      </w:r>
      <w:r w:rsidR="00DE3C86">
        <w:t xml:space="preserve"> na rok 202</w:t>
      </w:r>
      <w:r w:rsidR="00D47AAF">
        <w:t>6</w:t>
      </w:r>
      <w:r>
        <w:t xml:space="preserve"> (dále </w:t>
      </w:r>
      <w:r w:rsidR="000A3F78">
        <w:t xml:space="preserve">také </w:t>
      </w:r>
      <w:r>
        <w:t>„Akční plán</w:t>
      </w:r>
      <w:r w:rsidR="00DE3C86">
        <w:t xml:space="preserve"> 202</w:t>
      </w:r>
      <w:r w:rsidR="00D47AAF">
        <w:t>6</w:t>
      </w:r>
      <w:r>
        <w:t xml:space="preserve">“) je jednoletým </w:t>
      </w:r>
      <w:r w:rsidRPr="00E36C4B">
        <w:t>prováděcí</w:t>
      </w:r>
      <w:r>
        <w:t>m</w:t>
      </w:r>
      <w:r w:rsidRPr="00E36C4B">
        <w:t xml:space="preserve"> dokument</w:t>
      </w:r>
      <w:r>
        <w:t xml:space="preserve">em </w:t>
      </w:r>
      <w:r w:rsidRPr="00E36C4B">
        <w:t>ke střednědobému plánu, jehož prostřednictvím jsou realizovány rozvojové cíle v oblasti sociálních služeb, včetně jejich aktualizace na základě nově identifiko</w:t>
      </w:r>
      <w:r>
        <w:t>vaných potřeb.</w:t>
      </w:r>
    </w:p>
    <w:p w14:paraId="1D727B80" w14:textId="77777777" w:rsidR="008D5AF6" w:rsidRPr="00B92C92" w:rsidRDefault="008D5AF6" w:rsidP="001A2B79">
      <w:pPr>
        <w:pStyle w:val="slovn"/>
        <w:numPr>
          <w:ilvl w:val="0"/>
          <w:numId w:val="0"/>
        </w:numPr>
        <w:rPr>
          <w:u w:val="single"/>
        </w:rPr>
      </w:pPr>
      <w:r w:rsidRPr="00B92C92">
        <w:rPr>
          <w:u w:val="single"/>
        </w:rPr>
        <w:t>Obsahem Akčního plánu je:</w:t>
      </w:r>
    </w:p>
    <w:p w14:paraId="4BF8AF8C" w14:textId="38FFEC75" w:rsidR="008D5AF6" w:rsidRDefault="007F352C" w:rsidP="001A2B79">
      <w:pPr>
        <w:pStyle w:val="slovn"/>
        <w:numPr>
          <w:ilvl w:val="0"/>
          <w:numId w:val="13"/>
        </w:numPr>
      </w:pPr>
      <w:r>
        <w:t>a</w:t>
      </w:r>
      <w:r w:rsidR="008D5AF6">
        <w:t xml:space="preserve">ktualizovaná síť sociálních služeb OK na daný rok; </w:t>
      </w:r>
    </w:p>
    <w:p w14:paraId="1E7363BB" w14:textId="77777777" w:rsidR="008D5AF6" w:rsidRDefault="008D5AF6" w:rsidP="001A2B79">
      <w:pPr>
        <w:pStyle w:val="slovn"/>
        <w:numPr>
          <w:ilvl w:val="0"/>
          <w:numId w:val="13"/>
        </w:numPr>
      </w:pPr>
      <w:r>
        <w:lastRenderedPageBreak/>
        <w:t>celkové náklady na poskytování sociálních služeb v OK a vymezení předpokládané výše krajem požadované dotace na poskytování sociálních služeb zařazených do sítě sociálních služeb na příslušný rozpočtový rok a předpokládaný požadavek na následující 2 rozpočtové roky;</w:t>
      </w:r>
    </w:p>
    <w:p w14:paraId="048267A4" w14:textId="639E8BBC" w:rsidR="0014414E" w:rsidRDefault="0014414E" w:rsidP="001A2B79">
      <w:pPr>
        <w:pStyle w:val="slovn"/>
        <w:numPr>
          <w:ilvl w:val="0"/>
          <w:numId w:val="13"/>
        </w:numPr>
      </w:pPr>
      <w:r>
        <w:t>aktualizace SPRSS včetně plnění opatření střednědobého plánu naplněných v daném roce spolu s Evaluační zprávou o naplňování Střednědobého plánu rozvoje sociálních služeb v OK.</w:t>
      </w:r>
    </w:p>
    <w:p w14:paraId="4BC5B68E" w14:textId="38393937" w:rsidR="00FB779E" w:rsidRPr="00FB779E" w:rsidRDefault="00FB779E" w:rsidP="001A2B79">
      <w:pPr>
        <w:pStyle w:val="slovn"/>
        <w:numPr>
          <w:ilvl w:val="0"/>
          <w:numId w:val="0"/>
        </w:numPr>
        <w:ind w:left="927"/>
      </w:pPr>
    </w:p>
    <w:p w14:paraId="7AF93335" w14:textId="5A6CE36A" w:rsidR="00C30EB2" w:rsidRPr="00452330" w:rsidRDefault="008D42F9" w:rsidP="001A2B79">
      <w:pPr>
        <w:keepNext/>
        <w:keepLines/>
        <w:pBdr>
          <w:bottom w:val="single" w:sz="4" w:space="1" w:color="000000"/>
        </w:pBdr>
        <w:spacing w:before="480" w:after="240"/>
        <w:outlineLvl w:val="1"/>
        <w:rPr>
          <w:rFonts w:eastAsiaTheme="majorEastAsia"/>
          <w:b/>
          <w:bCs/>
          <w:szCs w:val="24"/>
        </w:rPr>
      </w:pPr>
      <w:r w:rsidRPr="00452330">
        <w:rPr>
          <w:rFonts w:eastAsiaTheme="majorEastAsia"/>
          <w:b/>
          <w:bCs/>
          <w:szCs w:val="24"/>
        </w:rPr>
        <w:t>1.</w:t>
      </w:r>
      <w:r w:rsidR="00452330" w:rsidRPr="00452330">
        <w:rPr>
          <w:rFonts w:eastAsiaTheme="majorEastAsia"/>
          <w:b/>
          <w:bCs/>
          <w:szCs w:val="24"/>
        </w:rPr>
        <w:t xml:space="preserve"> </w:t>
      </w:r>
      <w:r w:rsidR="005F44AC" w:rsidRPr="00452330">
        <w:rPr>
          <w:rFonts w:eastAsiaTheme="majorEastAsia"/>
          <w:b/>
          <w:bCs/>
          <w:szCs w:val="24"/>
        </w:rPr>
        <w:t>Síť</w:t>
      </w:r>
      <w:r w:rsidR="00C30EB2" w:rsidRPr="00452330">
        <w:rPr>
          <w:rFonts w:eastAsiaTheme="majorEastAsia"/>
          <w:b/>
          <w:bCs/>
          <w:szCs w:val="24"/>
        </w:rPr>
        <w:t xml:space="preserve"> sociálních služeb</w:t>
      </w:r>
      <w:r w:rsidR="00B926E1" w:rsidRPr="00452330">
        <w:rPr>
          <w:rFonts w:eastAsiaTheme="majorEastAsia"/>
          <w:b/>
          <w:bCs/>
          <w:szCs w:val="24"/>
        </w:rPr>
        <w:t xml:space="preserve"> na rok 202</w:t>
      </w:r>
      <w:r w:rsidR="00D47AAF">
        <w:rPr>
          <w:rFonts w:eastAsiaTheme="majorEastAsia"/>
          <w:b/>
          <w:bCs/>
          <w:szCs w:val="24"/>
        </w:rPr>
        <w:t>6</w:t>
      </w:r>
      <w:r w:rsidR="00F6367B" w:rsidRPr="00452330">
        <w:rPr>
          <w:rFonts w:eastAsiaTheme="majorEastAsia"/>
          <w:b/>
          <w:bCs/>
          <w:szCs w:val="24"/>
        </w:rPr>
        <w:t xml:space="preserve"> - aktualizovaná síť sociálních služeb na území OK</w:t>
      </w:r>
    </w:p>
    <w:p w14:paraId="452E7F5A" w14:textId="77777777" w:rsidR="00B926E1" w:rsidRPr="00892169" w:rsidRDefault="00B926E1" w:rsidP="001A2B79">
      <w:r w:rsidRPr="00892169">
        <w:t xml:space="preserve">Síť sociálních služeb je souhrnem registrovaných sociálních služeb, které </w:t>
      </w:r>
      <w:r w:rsidR="00982950">
        <w:t xml:space="preserve">mají </w:t>
      </w:r>
      <w:r w:rsidRPr="00892169">
        <w:t xml:space="preserve">místo poskytování na území kraje, napomáhají řešit nepříznivou sociální situaci osob na území kraje a jsou v souladu se zjištěnými potřebami osob na území </w:t>
      </w:r>
      <w:r w:rsidR="009E6D58">
        <w:t>kraje</w:t>
      </w:r>
      <w:r w:rsidRPr="00892169">
        <w:t xml:space="preserve"> a v souladu s dostupnými finančními zdroji.</w:t>
      </w:r>
    </w:p>
    <w:p w14:paraId="23D8665B" w14:textId="77CCD768" w:rsidR="00DF5E43" w:rsidRPr="00DF5E43" w:rsidRDefault="00DF5E43" w:rsidP="001A2B79">
      <w:r w:rsidRPr="00DF5E43">
        <w:t>Východiskem pro stanovení sítě sociálních služeb na rok 202</w:t>
      </w:r>
      <w:r w:rsidR="00D47AAF">
        <w:t>6</w:t>
      </w:r>
      <w:r w:rsidRPr="00DF5E43">
        <w:t xml:space="preserve"> byla schválená síť sociálních služeb na rok 202</w:t>
      </w:r>
      <w:r w:rsidR="00D47AAF">
        <w:t>5</w:t>
      </w:r>
      <w:r w:rsidRPr="00DF5E43">
        <w:t>.</w:t>
      </w:r>
    </w:p>
    <w:p w14:paraId="3FDB6F8D" w14:textId="4153E6E0" w:rsidR="00F6367B" w:rsidRDefault="00DF5E43" w:rsidP="001A2B79">
      <w:r w:rsidRPr="00DF5E43">
        <w:t>Proces zařazení sociálních služeb do sítě probíhal v souladu s Postupem pro aktualizaci sítě sociálních služeb Olomouckého kraje</w:t>
      </w:r>
      <w:r w:rsidR="00AA38EE">
        <w:t xml:space="preserve"> (dále jen POSTUP)</w:t>
      </w:r>
      <w:r w:rsidRPr="00DF5E43">
        <w:t>, schváleným Zastupitelstvem Olomouckého kraje usnesením č. UZ/11/89/2022 ze dne 26. 9. 2022. POSTUP stanovuje termíny pro podání žádosti o zařazení nové sociální služby do sítě a žádosti o aktualizaci změny v jednotkách u sociálních služeb, které již jsou do sítě zařazeny, a rovněž stanovuje způsob posouzení přijatých žádostí, včetně časového harmonogramu.</w:t>
      </w:r>
      <w:r>
        <w:t xml:space="preserve"> </w:t>
      </w:r>
    </w:p>
    <w:p w14:paraId="60533A6E" w14:textId="0870AFDD" w:rsidR="00F6367B" w:rsidRPr="00F6367B" w:rsidRDefault="00F6367B" w:rsidP="001A2B79">
      <w:pPr>
        <w:rPr>
          <w:rFonts w:eastAsia="Calibri"/>
          <w:szCs w:val="24"/>
          <w:lang w:eastAsia="en-US"/>
        </w:rPr>
      </w:pPr>
      <w:bookmarkStart w:id="0" w:name="_Toc133565734"/>
      <w:r w:rsidRPr="00F6367B">
        <w:rPr>
          <w:szCs w:val="24"/>
        </w:rPr>
        <w:t>Hlavní cíle pro modelaci sítě sociálních služeb pro rok 202</w:t>
      </w:r>
      <w:r w:rsidR="00D47AAF">
        <w:rPr>
          <w:szCs w:val="24"/>
        </w:rPr>
        <w:t>6</w:t>
      </w:r>
      <w:bookmarkEnd w:id="0"/>
      <w:r>
        <w:rPr>
          <w:b/>
          <w:szCs w:val="24"/>
        </w:rPr>
        <w:t xml:space="preserve"> </w:t>
      </w:r>
      <w:r>
        <w:rPr>
          <w:rFonts w:eastAsia="Calibri"/>
          <w:szCs w:val="24"/>
          <w:lang w:eastAsia="en-US"/>
        </w:rPr>
        <w:t>v</w:t>
      </w:r>
      <w:r w:rsidRPr="00F6367B">
        <w:rPr>
          <w:rFonts w:eastAsia="Calibri"/>
          <w:szCs w:val="24"/>
          <w:lang w:eastAsia="en-US"/>
        </w:rPr>
        <w:t>ycházejí</w:t>
      </w:r>
      <w:r w:rsidR="00B17780">
        <w:rPr>
          <w:rFonts w:eastAsia="Calibri"/>
          <w:szCs w:val="24"/>
          <w:lang w:eastAsia="en-US"/>
        </w:rPr>
        <w:t>cí</w:t>
      </w:r>
      <w:r w:rsidRPr="00F6367B">
        <w:rPr>
          <w:rFonts w:eastAsia="Calibri"/>
          <w:szCs w:val="24"/>
          <w:lang w:eastAsia="en-US"/>
        </w:rPr>
        <w:t xml:space="preserve"> ze zjištěných potřeb na území OK</w:t>
      </w:r>
      <w:r w:rsidR="007F352C">
        <w:rPr>
          <w:rFonts w:eastAsia="Calibri"/>
          <w:szCs w:val="24"/>
          <w:lang w:eastAsia="en-US"/>
        </w:rPr>
        <w:t xml:space="preserve"> a jsou definovány</w:t>
      </w:r>
      <w:r w:rsidRPr="00F6367B">
        <w:rPr>
          <w:rFonts w:eastAsia="Calibri"/>
          <w:szCs w:val="24"/>
          <w:lang w:eastAsia="en-US"/>
        </w:rPr>
        <w:t xml:space="preserve"> ve </w:t>
      </w:r>
      <w:r w:rsidRPr="00F6367B">
        <w:rPr>
          <w:rFonts w:eastAsia="Calibri"/>
          <w:szCs w:val="24"/>
        </w:rPr>
        <w:t>SPRSS 2024-2026</w:t>
      </w:r>
      <w:r w:rsidRPr="00F6367B">
        <w:rPr>
          <w:rFonts w:eastAsia="Calibri"/>
          <w:szCs w:val="24"/>
          <w:lang w:eastAsia="en-US"/>
        </w:rPr>
        <w:t xml:space="preserve">. </w:t>
      </w:r>
    </w:p>
    <w:p w14:paraId="73F56F5D" w14:textId="77777777" w:rsidR="00F6367B" w:rsidRDefault="00F6367B" w:rsidP="001A2B79">
      <w:pPr>
        <w:spacing w:before="0"/>
        <w:rPr>
          <w:b/>
          <w:bCs/>
        </w:rPr>
      </w:pPr>
    </w:p>
    <w:p w14:paraId="29BE4816" w14:textId="78F2F2B4" w:rsidR="00F6367B" w:rsidRPr="00B92C92" w:rsidRDefault="008D42F9" w:rsidP="001A2B79">
      <w:pPr>
        <w:spacing w:before="0"/>
        <w:rPr>
          <w:b/>
          <w:bCs/>
        </w:rPr>
      </w:pPr>
      <w:r w:rsidRPr="00B92C92">
        <w:rPr>
          <w:rFonts w:eastAsia="Arial Unicode MS"/>
          <w:b/>
          <w:bCs/>
          <w:sz w:val="26"/>
          <w:szCs w:val="26"/>
        </w:rPr>
        <w:t>1.1</w:t>
      </w:r>
      <w:r w:rsidR="00F6367B" w:rsidRPr="00B92C92">
        <w:rPr>
          <w:rFonts w:eastAsia="Arial Unicode MS"/>
          <w:b/>
          <w:bCs/>
          <w:sz w:val="26"/>
          <w:szCs w:val="26"/>
        </w:rPr>
        <w:t xml:space="preserve"> Zařazení nových sociálních služeb do sítě sociálních služeb na rok 202</w:t>
      </w:r>
      <w:r w:rsidR="00D47AAF">
        <w:rPr>
          <w:rFonts w:eastAsia="Arial Unicode MS"/>
          <w:b/>
          <w:bCs/>
          <w:sz w:val="26"/>
          <w:szCs w:val="26"/>
        </w:rPr>
        <w:t>6</w:t>
      </w:r>
    </w:p>
    <w:p w14:paraId="03E02CDE" w14:textId="77777777" w:rsidR="00BB57F6" w:rsidRPr="00BB57F6" w:rsidRDefault="00BB57F6" w:rsidP="001A2B79">
      <w:pPr>
        <w:widowControl w:val="0"/>
        <w:outlineLvl w:val="0"/>
        <w:rPr>
          <w:noProof/>
        </w:rPr>
      </w:pPr>
      <w:r w:rsidRPr="00BB57F6">
        <w:rPr>
          <w:noProof/>
        </w:rPr>
        <w:t xml:space="preserve">Podkladem pro aktualizaci sítě jsou dle POSTUPu řádně podané žádosti oprávněných žadatelů, včetně doložení povinných příloh. Žádosti jsou posuzovány v rámci struktur střednědobého plánování (pracovní skupiny, Realizačně manažerský tým) souborem kritérií, jejichž naplnění je hodnoceno systémem bodů. Maximální možný počet bodů, které může žadatel získat, je 76. Minimum, kterého musí žadatel dosáhnout, je 47 bodů. Kritéria jsou seskupena do čtyř základních parametrů (potřebnosti, dostupnosti, nákladovosti a kvality), přičemž žadatel musí v rámci konkrétního parametru dosáhnout nejméně polovičního počtu bodů, aby byl parametr posouzen jako splněný. V případě, že žadatel dosáhne minimálního počtu bodů a zároveň nesplní jeden či více parametrů, služba není doporučena k zařazení do sítě. </w:t>
      </w:r>
    </w:p>
    <w:p w14:paraId="4A25EEF4" w14:textId="7E1D3681" w:rsidR="00BB57F6" w:rsidRDefault="00BB57F6" w:rsidP="001A2B79">
      <w:pPr>
        <w:widowControl w:val="0"/>
        <w:spacing w:after="240"/>
        <w:outlineLvl w:val="0"/>
        <w:rPr>
          <w:noProof/>
        </w:rPr>
      </w:pPr>
      <w:r w:rsidRPr="00BB57F6">
        <w:rPr>
          <w:noProof/>
        </w:rPr>
        <w:t xml:space="preserve">Výsledek posouzení žádostí nových služeb o zařazení do sítě podle stanovených principů a vyřazení služeb ze sítě včetně jeho zdůvodnění je v podobě návrhu </w:t>
      </w:r>
      <w:r w:rsidRPr="00BB57F6">
        <w:rPr>
          <w:szCs w:val="24"/>
        </w:rPr>
        <w:t>Akčního plánu rozvoje sociálních služeb Olomouckého kraje na rok 202</w:t>
      </w:r>
      <w:r w:rsidR="008B0709">
        <w:rPr>
          <w:szCs w:val="24"/>
        </w:rPr>
        <w:t>6</w:t>
      </w:r>
      <w:r w:rsidRPr="00BB57F6">
        <w:rPr>
          <w:i/>
          <w:noProof/>
        </w:rPr>
        <w:t xml:space="preserve"> </w:t>
      </w:r>
      <w:r w:rsidRPr="00BB57F6">
        <w:rPr>
          <w:noProof/>
        </w:rPr>
        <w:t xml:space="preserve">včetně </w:t>
      </w:r>
      <w:r w:rsidR="00AA38EE">
        <w:rPr>
          <w:noProof/>
        </w:rPr>
        <w:t xml:space="preserve">aktualizované </w:t>
      </w:r>
      <w:r w:rsidRPr="00BB57F6">
        <w:rPr>
          <w:noProof/>
        </w:rPr>
        <w:t>sítě sociálních služeb Olomouckého kraje na rok 202</w:t>
      </w:r>
      <w:r w:rsidR="008B0709">
        <w:rPr>
          <w:noProof/>
        </w:rPr>
        <w:t>6</w:t>
      </w:r>
      <w:r w:rsidRPr="00BB57F6">
        <w:rPr>
          <w:noProof/>
        </w:rPr>
        <w:t xml:space="preserve"> předkládán orgánům kraje k projednání a schválení.</w:t>
      </w:r>
    </w:p>
    <w:p w14:paraId="0EC8EE54" w14:textId="1ECA0C80" w:rsidR="00D34CD5" w:rsidRPr="00D34CD5" w:rsidRDefault="00F6367B" w:rsidP="001A2B79">
      <w:pPr>
        <w:spacing w:before="0"/>
        <w:rPr>
          <w:b/>
          <w:bCs/>
        </w:rPr>
      </w:pPr>
      <w:r w:rsidRPr="00F6367B">
        <w:rPr>
          <w:b/>
          <w:bCs/>
        </w:rPr>
        <w:lastRenderedPageBreak/>
        <w:t xml:space="preserve">Prioritním cílem </w:t>
      </w:r>
      <w:r w:rsidR="009E6D58">
        <w:rPr>
          <w:b/>
          <w:bCs/>
        </w:rPr>
        <w:t>Olomouckého kraje</w:t>
      </w:r>
      <w:r w:rsidR="00587C1F">
        <w:rPr>
          <w:b/>
          <w:bCs/>
        </w:rPr>
        <w:t xml:space="preserve"> </w:t>
      </w:r>
      <w:r w:rsidRPr="00F6367B">
        <w:rPr>
          <w:b/>
          <w:bCs/>
        </w:rPr>
        <w:t>je vytvoření finančně udržitelné sítě sociálních služeb v</w:t>
      </w:r>
      <w:r w:rsidR="008D42F9">
        <w:rPr>
          <w:b/>
          <w:bCs/>
        </w:rPr>
        <w:t> </w:t>
      </w:r>
      <w:r w:rsidRPr="00F6367B">
        <w:rPr>
          <w:b/>
          <w:bCs/>
        </w:rPr>
        <w:t>dostatečné kapacitě, náležité kvalitě a s odpovídající místní dostupností, vždy s</w:t>
      </w:r>
      <w:r w:rsidR="008D42F9">
        <w:rPr>
          <w:b/>
          <w:bCs/>
        </w:rPr>
        <w:t> </w:t>
      </w:r>
      <w:r w:rsidRPr="00F6367B">
        <w:rPr>
          <w:b/>
          <w:bCs/>
        </w:rPr>
        <w:t>důrazem na aktuální potřebnost.</w:t>
      </w:r>
      <w:r w:rsidR="00D34CD5" w:rsidRPr="00D34CD5">
        <w:rPr>
          <w:b/>
          <w:bCs/>
        </w:rPr>
        <w:t xml:space="preserve"> Ke dni 28. 2. 202</w:t>
      </w:r>
      <w:r w:rsidR="00D47AAF">
        <w:rPr>
          <w:b/>
          <w:bCs/>
        </w:rPr>
        <w:t>5</w:t>
      </w:r>
      <w:r w:rsidR="00D34CD5" w:rsidRPr="00D34CD5">
        <w:rPr>
          <w:b/>
          <w:bCs/>
        </w:rPr>
        <w:t xml:space="preserve"> </w:t>
      </w:r>
      <w:r w:rsidR="00D34CD5" w:rsidRPr="00010750">
        <w:rPr>
          <w:b/>
          <w:bCs/>
        </w:rPr>
        <w:t xml:space="preserve">bylo podáno celkem </w:t>
      </w:r>
      <w:r w:rsidR="002A6735" w:rsidRPr="00010750">
        <w:rPr>
          <w:b/>
          <w:bCs/>
        </w:rPr>
        <w:t>15</w:t>
      </w:r>
      <w:r w:rsidR="00D34CD5" w:rsidRPr="00010750">
        <w:rPr>
          <w:b/>
          <w:bCs/>
        </w:rPr>
        <w:t xml:space="preserve"> žádostí o</w:t>
      </w:r>
      <w:r w:rsidR="0014414E" w:rsidRPr="00010750">
        <w:rPr>
          <w:b/>
          <w:bCs/>
        </w:rPr>
        <w:t> </w:t>
      </w:r>
      <w:r w:rsidR="00D34CD5" w:rsidRPr="00010750">
        <w:rPr>
          <w:b/>
          <w:bCs/>
        </w:rPr>
        <w:t xml:space="preserve">zařazení nových sociálních služeb do sítě. </w:t>
      </w:r>
    </w:p>
    <w:p w14:paraId="4272623C" w14:textId="484E3F8D" w:rsidR="00DF5E43" w:rsidRPr="00796A2C" w:rsidRDefault="00DF5E43" w:rsidP="001A2B79">
      <w:pPr>
        <w:spacing w:before="0"/>
        <w:rPr>
          <w:b/>
          <w:bCs/>
        </w:rPr>
      </w:pPr>
      <w:r w:rsidRPr="00796A2C">
        <w:rPr>
          <w:b/>
          <w:bCs/>
        </w:rPr>
        <w:t xml:space="preserve">V následující tabulce </w:t>
      </w:r>
      <w:r w:rsidR="0093048D">
        <w:rPr>
          <w:b/>
          <w:bCs/>
        </w:rPr>
        <w:t xml:space="preserve">č. 1 </w:t>
      </w:r>
      <w:r w:rsidRPr="00796A2C">
        <w:rPr>
          <w:b/>
          <w:bCs/>
        </w:rPr>
        <w:t xml:space="preserve">je uveden přehled </w:t>
      </w:r>
      <w:r w:rsidR="00CA639E" w:rsidRPr="00796A2C">
        <w:rPr>
          <w:b/>
          <w:bCs/>
        </w:rPr>
        <w:t>hodnocených</w:t>
      </w:r>
      <w:r w:rsidR="00D80ADE" w:rsidRPr="00796A2C">
        <w:rPr>
          <w:b/>
          <w:bCs/>
        </w:rPr>
        <w:t xml:space="preserve"> žádostí </w:t>
      </w:r>
      <w:r w:rsidR="00CA639E" w:rsidRPr="00796A2C">
        <w:rPr>
          <w:b/>
          <w:bCs/>
        </w:rPr>
        <w:t>s</w:t>
      </w:r>
      <w:r w:rsidR="0093048D">
        <w:rPr>
          <w:b/>
          <w:bCs/>
        </w:rPr>
        <w:t> </w:t>
      </w:r>
      <w:r w:rsidR="00CA639E" w:rsidRPr="00796A2C">
        <w:rPr>
          <w:b/>
          <w:bCs/>
        </w:rPr>
        <w:t>doporučením</w:t>
      </w:r>
      <w:r w:rsidR="007B494E" w:rsidRPr="007B494E">
        <w:rPr>
          <w:b/>
          <w:bCs/>
        </w:rPr>
        <w:t xml:space="preserve"> Realizačně manažerského týmu a také Komise pro rodinu a sociální záležitosti ROK</w:t>
      </w:r>
      <w:r w:rsidR="00CA639E" w:rsidRPr="00796A2C">
        <w:rPr>
          <w:b/>
          <w:bCs/>
        </w:rPr>
        <w:t xml:space="preserve"> k zařazení nebo nezařazení </w:t>
      </w:r>
      <w:r w:rsidRPr="00796A2C">
        <w:rPr>
          <w:b/>
          <w:bCs/>
        </w:rPr>
        <w:t>do sítě sociálních služeb Olomouckého kraje na rok 202</w:t>
      </w:r>
      <w:r w:rsidR="00D47AAF">
        <w:rPr>
          <w:b/>
          <w:bCs/>
        </w:rPr>
        <w:t>6</w:t>
      </w:r>
      <w:r w:rsidRPr="00796A2C">
        <w:rPr>
          <w:b/>
          <w:bCs/>
        </w:rPr>
        <w:t xml:space="preserve">. </w:t>
      </w:r>
    </w:p>
    <w:p w14:paraId="392F705D" w14:textId="77777777" w:rsidR="00DF5E43" w:rsidRDefault="00DF5E43" w:rsidP="001A2B79">
      <w:pPr>
        <w:spacing w:before="0"/>
        <w:rPr>
          <w:b/>
          <w:bCs/>
        </w:rPr>
      </w:pPr>
    </w:p>
    <w:p w14:paraId="79376A28" w14:textId="77777777" w:rsidR="00010750" w:rsidRDefault="00010750" w:rsidP="001A2B79">
      <w:pPr>
        <w:spacing w:before="0"/>
        <w:rPr>
          <w:b/>
          <w:bCs/>
        </w:rPr>
      </w:pPr>
    </w:p>
    <w:p w14:paraId="68111C8D" w14:textId="77777777" w:rsidR="00010750" w:rsidRPr="00796A2C" w:rsidRDefault="00010750" w:rsidP="001A2B79">
      <w:pPr>
        <w:spacing w:before="0"/>
        <w:rPr>
          <w:b/>
          <w:bCs/>
        </w:rPr>
      </w:pPr>
    </w:p>
    <w:p w14:paraId="6BF66E15" w14:textId="1122D5C8" w:rsidR="00C30F3B" w:rsidRDefault="00C30F3B" w:rsidP="000F65A0">
      <w:pPr>
        <w:spacing w:before="0"/>
        <w:rPr>
          <w:bCs/>
          <w:i/>
          <w:sz w:val="20"/>
          <w:szCs w:val="20"/>
          <w:lang w:eastAsia="en-US"/>
        </w:rPr>
      </w:pPr>
      <w:r w:rsidRPr="00796A2C">
        <w:rPr>
          <w:i/>
          <w:sz w:val="20"/>
          <w:szCs w:val="20"/>
          <w:lang w:eastAsia="en-US"/>
        </w:rPr>
        <w:t xml:space="preserve">Tabulka č. 1: </w:t>
      </w:r>
      <w:r w:rsidR="00CA639E" w:rsidRPr="00796A2C">
        <w:rPr>
          <w:i/>
          <w:sz w:val="20"/>
          <w:szCs w:val="20"/>
          <w:lang w:eastAsia="en-US"/>
        </w:rPr>
        <w:t>P</w:t>
      </w:r>
      <w:r w:rsidR="00CA639E" w:rsidRPr="00796A2C">
        <w:rPr>
          <w:bCs/>
          <w:i/>
          <w:sz w:val="20"/>
          <w:szCs w:val="20"/>
          <w:lang w:eastAsia="en-US"/>
        </w:rPr>
        <w:t>řehled ohodnocených žádostí s doporučením k zařazení nebo nezařazení do sítě sociálních služeb Olomouckého kraje na rok 202</w:t>
      </w:r>
      <w:r w:rsidR="00827D07">
        <w:rPr>
          <w:bCs/>
          <w:i/>
          <w:sz w:val="20"/>
          <w:szCs w:val="20"/>
          <w:lang w:eastAsia="en-US"/>
        </w:rPr>
        <w:t>6</w:t>
      </w:r>
    </w:p>
    <w:p w14:paraId="18B4BB54" w14:textId="77777777" w:rsidR="00633DB8" w:rsidRDefault="00633DB8" w:rsidP="000F65A0">
      <w:pPr>
        <w:spacing w:before="0"/>
        <w:rPr>
          <w:bCs/>
          <w:i/>
          <w:sz w:val="20"/>
          <w:szCs w:val="20"/>
          <w:lang w:eastAsia="en-US"/>
        </w:rPr>
      </w:pPr>
    </w:p>
    <w:tbl>
      <w:tblPr>
        <w:tblW w:w="5316" w:type="pct"/>
        <w:tblCellMar>
          <w:left w:w="70" w:type="dxa"/>
          <w:right w:w="70" w:type="dxa"/>
        </w:tblCellMar>
        <w:tblLook w:val="04A0" w:firstRow="1" w:lastRow="0" w:firstColumn="1" w:lastColumn="0" w:noHBand="0" w:noVBand="1"/>
      </w:tblPr>
      <w:tblGrid>
        <w:gridCol w:w="367"/>
        <w:gridCol w:w="1560"/>
        <w:gridCol w:w="1360"/>
        <w:gridCol w:w="1287"/>
        <w:gridCol w:w="4600"/>
        <w:gridCol w:w="1184"/>
      </w:tblGrid>
      <w:tr w:rsidR="00633DB8" w:rsidRPr="00633DB8" w14:paraId="589BE1CD" w14:textId="77777777" w:rsidTr="00E70666">
        <w:trPr>
          <w:trHeight w:val="1417"/>
          <w:tblHeader/>
        </w:trPr>
        <w:tc>
          <w:tcPr>
            <w:tcW w:w="18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F49EA34" w14:textId="77777777" w:rsidR="00633DB8" w:rsidRPr="00633DB8" w:rsidRDefault="00633DB8" w:rsidP="00633DB8">
            <w:pPr>
              <w:spacing w:before="0" w:line="240" w:lineRule="auto"/>
              <w:rPr>
                <w:rFonts w:ascii="Calibri" w:eastAsia="Times New Roman" w:hAnsi="Calibri" w:cs="Calibri"/>
                <w:b/>
                <w:bCs/>
                <w:sz w:val="22"/>
              </w:rPr>
            </w:pPr>
            <w:r w:rsidRPr="00633DB8">
              <w:rPr>
                <w:rFonts w:ascii="Calibri" w:eastAsia="Times New Roman" w:hAnsi="Calibri" w:cs="Calibri"/>
                <w:b/>
                <w:bCs/>
                <w:sz w:val="22"/>
              </w:rPr>
              <w:t>Č.</w:t>
            </w:r>
          </w:p>
        </w:tc>
        <w:tc>
          <w:tcPr>
            <w:tcW w:w="765"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1AA962C" w14:textId="77777777" w:rsidR="00633DB8" w:rsidRPr="00633DB8" w:rsidRDefault="00633DB8" w:rsidP="00633DB8">
            <w:pPr>
              <w:spacing w:before="0" w:line="240" w:lineRule="auto"/>
              <w:rPr>
                <w:rFonts w:ascii="Calibri" w:eastAsia="Times New Roman" w:hAnsi="Calibri" w:cs="Calibri"/>
                <w:b/>
                <w:bCs/>
                <w:sz w:val="22"/>
              </w:rPr>
            </w:pPr>
            <w:r w:rsidRPr="00633DB8">
              <w:rPr>
                <w:rFonts w:ascii="Calibri" w:eastAsia="Times New Roman" w:hAnsi="Calibri" w:cs="Calibri"/>
                <w:b/>
                <w:bCs/>
                <w:sz w:val="22"/>
              </w:rPr>
              <w:t>Žadatel o zařazení nové sociální služby do sítě</w:t>
            </w:r>
          </w:p>
        </w:tc>
        <w:tc>
          <w:tcPr>
            <w:tcW w:w="598"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84FE22F" w14:textId="77777777" w:rsidR="00633DB8" w:rsidRPr="00633DB8" w:rsidRDefault="00633DB8" w:rsidP="00633DB8">
            <w:pPr>
              <w:spacing w:before="0" w:line="240" w:lineRule="auto"/>
              <w:rPr>
                <w:rFonts w:ascii="Calibri" w:eastAsia="Times New Roman" w:hAnsi="Calibri" w:cs="Calibri"/>
                <w:b/>
                <w:bCs/>
                <w:sz w:val="22"/>
              </w:rPr>
            </w:pPr>
            <w:r w:rsidRPr="00633DB8">
              <w:rPr>
                <w:rFonts w:ascii="Calibri" w:eastAsia="Times New Roman" w:hAnsi="Calibri" w:cs="Calibri"/>
                <w:b/>
                <w:bCs/>
                <w:sz w:val="22"/>
              </w:rPr>
              <w:t>Druh služby</w:t>
            </w:r>
          </w:p>
        </w:tc>
        <w:tc>
          <w:tcPr>
            <w:tcW w:w="633"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0BA51ADD" w14:textId="77777777" w:rsidR="00633DB8" w:rsidRPr="00633DB8" w:rsidRDefault="00633DB8" w:rsidP="00633DB8">
            <w:pPr>
              <w:spacing w:before="0" w:line="240" w:lineRule="auto"/>
              <w:rPr>
                <w:rFonts w:ascii="Calibri" w:eastAsia="Times New Roman" w:hAnsi="Calibri" w:cs="Calibri"/>
                <w:b/>
                <w:bCs/>
                <w:sz w:val="22"/>
              </w:rPr>
            </w:pPr>
            <w:r w:rsidRPr="00633DB8">
              <w:rPr>
                <w:rFonts w:ascii="Calibri" w:eastAsia="Times New Roman" w:hAnsi="Calibri" w:cs="Calibri"/>
                <w:b/>
                <w:bCs/>
                <w:sz w:val="22"/>
              </w:rPr>
              <w:t>Forma</w:t>
            </w:r>
          </w:p>
        </w:tc>
        <w:tc>
          <w:tcPr>
            <w:tcW w:w="2232"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8045871" w14:textId="77777777" w:rsidR="00633DB8" w:rsidRPr="00633DB8" w:rsidRDefault="00633DB8" w:rsidP="00633DB8">
            <w:pPr>
              <w:spacing w:before="0" w:line="240" w:lineRule="auto"/>
              <w:rPr>
                <w:rFonts w:ascii="Calibri" w:eastAsia="Times New Roman" w:hAnsi="Calibri" w:cs="Calibri"/>
                <w:b/>
                <w:bCs/>
                <w:sz w:val="22"/>
              </w:rPr>
            </w:pPr>
            <w:r w:rsidRPr="00633DB8">
              <w:rPr>
                <w:rFonts w:ascii="Calibri" w:eastAsia="Times New Roman" w:hAnsi="Calibri" w:cs="Calibri"/>
                <w:b/>
                <w:bCs/>
                <w:sz w:val="22"/>
              </w:rPr>
              <w:t>Zdůvodnění OSV</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9C1BDD2" w14:textId="77777777" w:rsidR="00633DB8" w:rsidRPr="00633DB8" w:rsidRDefault="00633DB8" w:rsidP="00633DB8">
            <w:pPr>
              <w:spacing w:before="0" w:line="240" w:lineRule="auto"/>
              <w:jc w:val="center"/>
              <w:rPr>
                <w:rFonts w:ascii="Calibri" w:eastAsia="Times New Roman" w:hAnsi="Calibri" w:cs="Calibri"/>
                <w:b/>
                <w:bCs/>
                <w:sz w:val="22"/>
              </w:rPr>
            </w:pPr>
            <w:r w:rsidRPr="00633DB8">
              <w:rPr>
                <w:rFonts w:ascii="Calibri" w:eastAsia="Times New Roman" w:hAnsi="Calibri" w:cs="Calibri"/>
                <w:b/>
                <w:bCs/>
                <w:sz w:val="22"/>
              </w:rPr>
              <w:t>počet jednotek k zařazení do sítě na rok 2026</w:t>
            </w:r>
          </w:p>
        </w:tc>
      </w:tr>
      <w:tr w:rsidR="00633DB8" w:rsidRPr="00633DB8" w14:paraId="76D59629" w14:textId="77777777" w:rsidTr="00E70666">
        <w:trPr>
          <w:trHeight w:val="2660"/>
        </w:trPr>
        <w:tc>
          <w:tcPr>
            <w:tcW w:w="189" w:type="pct"/>
            <w:tcBorders>
              <w:top w:val="nil"/>
              <w:left w:val="single" w:sz="4" w:space="0" w:color="auto"/>
              <w:bottom w:val="single" w:sz="4" w:space="0" w:color="auto"/>
              <w:right w:val="single" w:sz="4" w:space="0" w:color="auto"/>
            </w:tcBorders>
            <w:shd w:val="clear" w:color="auto" w:fill="CAEDFB"/>
            <w:vAlign w:val="center"/>
            <w:hideMark/>
          </w:tcPr>
          <w:p w14:paraId="6F325E5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1</w:t>
            </w:r>
          </w:p>
        </w:tc>
        <w:tc>
          <w:tcPr>
            <w:tcW w:w="765" w:type="pct"/>
            <w:tcBorders>
              <w:top w:val="nil"/>
              <w:left w:val="nil"/>
              <w:bottom w:val="single" w:sz="4" w:space="0" w:color="auto"/>
              <w:right w:val="single" w:sz="4" w:space="0" w:color="auto"/>
            </w:tcBorders>
            <w:shd w:val="clear" w:color="auto" w:fill="CAEDFB"/>
            <w:vAlign w:val="center"/>
            <w:hideMark/>
          </w:tcPr>
          <w:p w14:paraId="7A5B47BD"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Armáda spásy v České republice, z.s.</w:t>
            </w:r>
          </w:p>
        </w:tc>
        <w:tc>
          <w:tcPr>
            <w:tcW w:w="598" w:type="pct"/>
            <w:tcBorders>
              <w:top w:val="nil"/>
              <w:left w:val="nil"/>
              <w:bottom w:val="single" w:sz="4" w:space="0" w:color="auto"/>
              <w:right w:val="single" w:sz="4" w:space="0" w:color="auto"/>
            </w:tcBorders>
            <w:shd w:val="clear" w:color="auto" w:fill="CAEDFB"/>
            <w:vAlign w:val="center"/>
            <w:hideMark/>
          </w:tcPr>
          <w:p w14:paraId="1ADC06CA"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sociální rehabilitace (§ 70)</w:t>
            </w:r>
          </w:p>
        </w:tc>
        <w:tc>
          <w:tcPr>
            <w:tcW w:w="633" w:type="pct"/>
            <w:tcBorders>
              <w:top w:val="nil"/>
              <w:left w:val="nil"/>
              <w:bottom w:val="single" w:sz="4" w:space="0" w:color="auto"/>
              <w:right w:val="single" w:sz="4" w:space="0" w:color="auto"/>
            </w:tcBorders>
            <w:shd w:val="clear" w:color="auto" w:fill="CAEDFB"/>
            <w:vAlign w:val="center"/>
            <w:hideMark/>
          </w:tcPr>
          <w:p w14:paraId="05FD20DE"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ambulantní, terénní</w:t>
            </w:r>
          </w:p>
        </w:tc>
        <w:tc>
          <w:tcPr>
            <w:tcW w:w="2232" w:type="pct"/>
            <w:tcBorders>
              <w:top w:val="nil"/>
              <w:left w:val="nil"/>
              <w:bottom w:val="single" w:sz="4" w:space="0" w:color="auto"/>
              <w:right w:val="single" w:sz="4" w:space="0" w:color="auto"/>
            </w:tcBorders>
            <w:shd w:val="clear" w:color="auto" w:fill="CAEDFB"/>
            <w:vAlign w:val="center"/>
            <w:hideMark/>
          </w:tcPr>
          <w:p w14:paraId="5AE2A1F0" w14:textId="4A4EF696"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61 bodů; žadatel dosáhl potřebného počtu bodů; služba je v souladu se SPRSS 2024-2026 a zřízení služby je zahrnuto v komunitním plánu ORP Šumperk; ORP Šumperk považuje službu za potřebnou, s příslibem finanční podpory, sociální služba </w:t>
            </w:r>
            <w:r w:rsidR="00E70666">
              <w:rPr>
                <w:rFonts w:ascii="Calibri" w:eastAsia="Times New Roman" w:hAnsi="Calibri" w:cs="Calibri"/>
                <w:sz w:val="20"/>
                <w:szCs w:val="20"/>
              </w:rPr>
              <w:t xml:space="preserve">zabezpečená 2,0 úvazky pracovníků v přímé péči je na stanovenou kapacitu </w:t>
            </w:r>
            <w:r w:rsidRPr="00633DB8">
              <w:rPr>
                <w:rFonts w:ascii="Calibri" w:eastAsia="Times New Roman" w:hAnsi="Calibri" w:cs="Calibri"/>
                <w:sz w:val="20"/>
                <w:szCs w:val="20"/>
              </w:rPr>
              <w:t>personálně naddimenzovaná</w:t>
            </w:r>
            <w:r w:rsidR="00E70666">
              <w:rPr>
                <w:rFonts w:ascii="Calibri" w:eastAsia="Times New Roman" w:hAnsi="Calibri" w:cs="Calibri"/>
                <w:sz w:val="20"/>
                <w:szCs w:val="20"/>
              </w:rPr>
              <w:t>; OSV navrhuje zařadit do sítě pouze 1,0 úvazek</w:t>
            </w:r>
          </w:p>
          <w:p w14:paraId="436B645B" w14:textId="77777777" w:rsidR="00633DB8" w:rsidRPr="00633DB8" w:rsidRDefault="00633DB8" w:rsidP="00633DB8">
            <w:pPr>
              <w:spacing w:before="0" w:line="240" w:lineRule="auto"/>
              <w:rPr>
                <w:rFonts w:ascii="Calibri" w:eastAsia="Times New Roman" w:hAnsi="Calibri" w:cs="Calibri"/>
                <w:b/>
                <w:bCs/>
                <w:sz w:val="20"/>
                <w:szCs w:val="20"/>
              </w:rPr>
            </w:pPr>
          </w:p>
          <w:p w14:paraId="09F5CDAE"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částečně doporučeno k zařazení do sítě</w:t>
            </w:r>
          </w:p>
        </w:tc>
        <w:tc>
          <w:tcPr>
            <w:tcW w:w="584" w:type="pct"/>
            <w:tcBorders>
              <w:top w:val="nil"/>
              <w:left w:val="nil"/>
              <w:bottom w:val="single" w:sz="4" w:space="0" w:color="auto"/>
              <w:right w:val="single" w:sz="4" w:space="0" w:color="auto"/>
            </w:tcBorders>
            <w:shd w:val="clear" w:color="auto" w:fill="CAEDFB"/>
            <w:vAlign w:val="center"/>
            <w:hideMark/>
          </w:tcPr>
          <w:p w14:paraId="35E03ECA"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1</w:t>
            </w:r>
          </w:p>
        </w:tc>
      </w:tr>
      <w:tr w:rsidR="00633DB8" w:rsidRPr="00633DB8" w14:paraId="659A0B3B" w14:textId="77777777" w:rsidTr="00633DB8">
        <w:trPr>
          <w:trHeight w:val="2694"/>
        </w:trPr>
        <w:tc>
          <w:tcPr>
            <w:tcW w:w="189" w:type="pct"/>
            <w:tcBorders>
              <w:top w:val="nil"/>
              <w:left w:val="single" w:sz="4" w:space="0" w:color="auto"/>
              <w:bottom w:val="single" w:sz="4" w:space="0" w:color="auto"/>
              <w:right w:val="single" w:sz="4" w:space="0" w:color="auto"/>
            </w:tcBorders>
            <w:shd w:val="clear" w:color="auto" w:fill="FAE2D5"/>
            <w:vAlign w:val="center"/>
            <w:hideMark/>
          </w:tcPr>
          <w:p w14:paraId="7AEE875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2</w:t>
            </w:r>
          </w:p>
        </w:tc>
        <w:tc>
          <w:tcPr>
            <w:tcW w:w="765" w:type="pct"/>
            <w:tcBorders>
              <w:top w:val="nil"/>
              <w:left w:val="nil"/>
              <w:bottom w:val="single" w:sz="4" w:space="0" w:color="auto"/>
              <w:right w:val="single" w:sz="4" w:space="0" w:color="auto"/>
            </w:tcBorders>
            <w:shd w:val="clear" w:color="auto" w:fill="FAE2D5"/>
            <w:vAlign w:val="center"/>
            <w:hideMark/>
          </w:tcPr>
          <w:p w14:paraId="2BCC37AE"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Domov seniorů Komárov </w:t>
            </w:r>
            <w:proofErr w:type="spellStart"/>
            <w:r w:rsidRPr="00633DB8">
              <w:rPr>
                <w:rFonts w:ascii="Calibri" w:eastAsia="Times New Roman" w:hAnsi="Calibri" w:cs="Calibri"/>
                <w:sz w:val="20"/>
                <w:szCs w:val="20"/>
              </w:rPr>
              <w:t>z.ú</w:t>
            </w:r>
            <w:proofErr w:type="spellEnd"/>
            <w:r w:rsidRPr="00633DB8">
              <w:rPr>
                <w:rFonts w:ascii="Calibri" w:eastAsia="Times New Roman" w:hAnsi="Calibri" w:cs="Calibri"/>
                <w:sz w:val="20"/>
                <w:szCs w:val="20"/>
              </w:rPr>
              <w:t>.</w:t>
            </w:r>
          </w:p>
        </w:tc>
        <w:tc>
          <w:tcPr>
            <w:tcW w:w="598" w:type="pct"/>
            <w:tcBorders>
              <w:top w:val="nil"/>
              <w:left w:val="nil"/>
              <w:bottom w:val="single" w:sz="4" w:space="0" w:color="auto"/>
              <w:right w:val="single" w:sz="4" w:space="0" w:color="auto"/>
            </w:tcBorders>
            <w:shd w:val="clear" w:color="auto" w:fill="FAE2D5"/>
            <w:vAlign w:val="center"/>
            <w:hideMark/>
          </w:tcPr>
          <w:p w14:paraId="5480E4E7"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domovy se zvláštním režimem (§ 50)</w:t>
            </w:r>
          </w:p>
        </w:tc>
        <w:tc>
          <w:tcPr>
            <w:tcW w:w="633" w:type="pct"/>
            <w:tcBorders>
              <w:top w:val="nil"/>
              <w:left w:val="nil"/>
              <w:bottom w:val="single" w:sz="4" w:space="0" w:color="auto"/>
              <w:right w:val="single" w:sz="4" w:space="0" w:color="auto"/>
            </w:tcBorders>
            <w:shd w:val="clear" w:color="auto" w:fill="FAE2D5"/>
            <w:vAlign w:val="center"/>
            <w:hideMark/>
          </w:tcPr>
          <w:p w14:paraId="6FDA51D3"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pobytová</w:t>
            </w:r>
          </w:p>
        </w:tc>
        <w:tc>
          <w:tcPr>
            <w:tcW w:w="2232" w:type="pct"/>
            <w:tcBorders>
              <w:top w:val="nil"/>
              <w:left w:val="nil"/>
              <w:bottom w:val="single" w:sz="4" w:space="0" w:color="auto"/>
              <w:right w:val="single" w:sz="4" w:space="0" w:color="auto"/>
            </w:tcBorders>
            <w:shd w:val="clear" w:color="auto" w:fill="FAE2D5"/>
            <w:vAlign w:val="center"/>
            <w:hideMark/>
          </w:tcPr>
          <w:p w14:paraId="2581F8AD"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43 bodů; žadatel nedosáhl minimálního počtu bodů; nesplněn parametr kvality; zřízení služby není v souladu se specifickými cíli a opatřeními SPRSS 2024-2026; ORP Šternberk předpokládá, že provoz služby nebude finančně podporovat a uvádí, že službu DZR poskytovanou Domovem seniorů Komárov, </w:t>
            </w:r>
            <w:proofErr w:type="spellStart"/>
            <w:r w:rsidRPr="00633DB8">
              <w:rPr>
                <w:rFonts w:ascii="Calibri" w:eastAsia="Times New Roman" w:hAnsi="Calibri" w:cs="Calibri"/>
                <w:sz w:val="20"/>
                <w:szCs w:val="20"/>
              </w:rPr>
              <w:t>z.ú</w:t>
            </w:r>
            <w:proofErr w:type="spellEnd"/>
            <w:r w:rsidRPr="00633DB8">
              <w:rPr>
                <w:rFonts w:ascii="Calibri" w:eastAsia="Times New Roman" w:hAnsi="Calibri" w:cs="Calibri"/>
                <w:sz w:val="20"/>
                <w:szCs w:val="20"/>
              </w:rPr>
              <w:t>. za potřebnou nepovažuje</w:t>
            </w:r>
          </w:p>
          <w:p w14:paraId="062DC36B" w14:textId="77777777" w:rsidR="00633DB8" w:rsidRPr="00633DB8" w:rsidRDefault="00633DB8" w:rsidP="00633DB8">
            <w:pPr>
              <w:spacing w:before="0" w:line="240" w:lineRule="auto"/>
              <w:rPr>
                <w:rFonts w:ascii="Calibri" w:eastAsia="Times New Roman" w:hAnsi="Calibri" w:cs="Calibri"/>
                <w:sz w:val="20"/>
                <w:szCs w:val="20"/>
              </w:rPr>
            </w:pPr>
          </w:p>
          <w:p w14:paraId="24AE86B0"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nedoporučeno k zařazení do sítě</w:t>
            </w:r>
          </w:p>
        </w:tc>
        <w:tc>
          <w:tcPr>
            <w:tcW w:w="584" w:type="pct"/>
            <w:tcBorders>
              <w:top w:val="nil"/>
              <w:left w:val="nil"/>
              <w:bottom w:val="single" w:sz="4" w:space="0" w:color="auto"/>
              <w:right w:val="single" w:sz="4" w:space="0" w:color="auto"/>
            </w:tcBorders>
            <w:shd w:val="clear" w:color="auto" w:fill="FAE2D5"/>
            <w:vAlign w:val="center"/>
            <w:hideMark/>
          </w:tcPr>
          <w:p w14:paraId="5671C4DC" w14:textId="77777777" w:rsidR="00633DB8" w:rsidRPr="00633DB8" w:rsidRDefault="00633DB8" w:rsidP="00633DB8">
            <w:pPr>
              <w:spacing w:before="0" w:line="240" w:lineRule="auto"/>
              <w:jc w:val="center"/>
              <w:rPr>
                <w:rFonts w:ascii="Calibri" w:eastAsia="Times New Roman" w:hAnsi="Calibri" w:cs="Calibri"/>
                <w:sz w:val="20"/>
                <w:szCs w:val="20"/>
              </w:rPr>
            </w:pPr>
            <w:r w:rsidRPr="00633DB8">
              <w:rPr>
                <w:rFonts w:ascii="Calibri" w:eastAsia="Times New Roman" w:hAnsi="Calibri" w:cs="Calibri"/>
                <w:sz w:val="20"/>
                <w:szCs w:val="20"/>
              </w:rPr>
              <w:t>0</w:t>
            </w:r>
          </w:p>
        </w:tc>
      </w:tr>
      <w:tr w:rsidR="00633DB8" w:rsidRPr="00633DB8" w14:paraId="740D3B98" w14:textId="77777777" w:rsidTr="00633DB8">
        <w:trPr>
          <w:trHeight w:val="2889"/>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61ADB212"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3</w:t>
            </w:r>
          </w:p>
        </w:tc>
        <w:tc>
          <w:tcPr>
            <w:tcW w:w="765" w:type="pct"/>
            <w:tcBorders>
              <w:top w:val="nil"/>
              <w:left w:val="nil"/>
              <w:bottom w:val="single" w:sz="4" w:space="0" w:color="auto"/>
              <w:right w:val="single" w:sz="4" w:space="0" w:color="auto"/>
            </w:tcBorders>
            <w:shd w:val="clear" w:color="auto" w:fill="D9F2D0"/>
            <w:vAlign w:val="center"/>
            <w:hideMark/>
          </w:tcPr>
          <w:p w14:paraId="5F953BF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Domov svatého Norberta, </w:t>
            </w:r>
            <w:proofErr w:type="spellStart"/>
            <w:r w:rsidRPr="00633DB8">
              <w:rPr>
                <w:rFonts w:ascii="Calibri" w:eastAsia="Times New Roman" w:hAnsi="Calibri" w:cs="Calibri"/>
                <w:sz w:val="20"/>
                <w:szCs w:val="20"/>
              </w:rPr>
              <w:t>z.ú</w:t>
            </w:r>
            <w:proofErr w:type="spellEnd"/>
            <w:r w:rsidRPr="00633DB8">
              <w:rPr>
                <w:rFonts w:ascii="Calibri" w:eastAsia="Times New Roman" w:hAnsi="Calibri" w:cs="Calibri"/>
                <w:sz w:val="20"/>
                <w:szCs w:val="20"/>
              </w:rPr>
              <w:t>.</w:t>
            </w:r>
          </w:p>
        </w:tc>
        <w:tc>
          <w:tcPr>
            <w:tcW w:w="598" w:type="pct"/>
            <w:tcBorders>
              <w:top w:val="nil"/>
              <w:left w:val="nil"/>
              <w:bottom w:val="single" w:sz="4" w:space="0" w:color="auto"/>
              <w:right w:val="single" w:sz="4" w:space="0" w:color="auto"/>
            </w:tcBorders>
            <w:shd w:val="clear" w:color="auto" w:fill="D9F2D0"/>
            <w:vAlign w:val="center"/>
            <w:hideMark/>
          </w:tcPr>
          <w:p w14:paraId="7B2B8F35"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domovy pro seniory (§ 49)</w:t>
            </w:r>
          </w:p>
        </w:tc>
        <w:tc>
          <w:tcPr>
            <w:tcW w:w="633" w:type="pct"/>
            <w:tcBorders>
              <w:top w:val="nil"/>
              <w:left w:val="nil"/>
              <w:bottom w:val="single" w:sz="4" w:space="0" w:color="auto"/>
              <w:right w:val="single" w:sz="4" w:space="0" w:color="auto"/>
            </w:tcBorders>
            <w:shd w:val="clear" w:color="auto" w:fill="D9F2D0"/>
            <w:vAlign w:val="center"/>
            <w:hideMark/>
          </w:tcPr>
          <w:p w14:paraId="5121E1D5"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pobytová</w:t>
            </w:r>
          </w:p>
        </w:tc>
        <w:tc>
          <w:tcPr>
            <w:tcW w:w="2232" w:type="pct"/>
            <w:tcBorders>
              <w:top w:val="nil"/>
              <w:left w:val="nil"/>
              <w:bottom w:val="single" w:sz="4" w:space="0" w:color="auto"/>
              <w:right w:val="single" w:sz="4" w:space="0" w:color="auto"/>
            </w:tcBorders>
            <w:shd w:val="clear" w:color="auto" w:fill="D9F2D0"/>
            <w:vAlign w:val="center"/>
            <w:hideMark/>
          </w:tcPr>
          <w:p w14:paraId="1BE192B4"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56 bodů; žadatel dosáhl potřebného počtu bodů; služba je v souladu se SPRSS 2024-2026 a zřízení služby je zahrnuto v komunitním plánu ORP Olomouc; ORP Olomouc považuje službu za potřebnou, s příslibem finanční podpory; jedná se o nízkokapacitní pobytovou službu komunitního typu</w:t>
            </w:r>
          </w:p>
          <w:p w14:paraId="37C5D391" w14:textId="77777777" w:rsidR="00633DB8" w:rsidRPr="00633DB8" w:rsidRDefault="00633DB8" w:rsidP="00633DB8">
            <w:pPr>
              <w:spacing w:before="0" w:line="240" w:lineRule="auto"/>
              <w:rPr>
                <w:rFonts w:ascii="Calibri" w:eastAsia="Times New Roman" w:hAnsi="Calibri" w:cs="Calibri"/>
                <w:b/>
                <w:bCs/>
                <w:sz w:val="20"/>
                <w:szCs w:val="20"/>
              </w:rPr>
            </w:pPr>
          </w:p>
          <w:p w14:paraId="3B5222CA"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zařazení do sítě</w:t>
            </w:r>
          </w:p>
        </w:tc>
        <w:tc>
          <w:tcPr>
            <w:tcW w:w="584" w:type="pct"/>
            <w:tcBorders>
              <w:top w:val="nil"/>
              <w:left w:val="nil"/>
              <w:bottom w:val="single" w:sz="4" w:space="0" w:color="auto"/>
              <w:right w:val="single" w:sz="4" w:space="0" w:color="auto"/>
            </w:tcBorders>
            <w:shd w:val="clear" w:color="auto" w:fill="D9F2D0"/>
            <w:vAlign w:val="center"/>
            <w:hideMark/>
          </w:tcPr>
          <w:p w14:paraId="590D734D"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18</w:t>
            </w:r>
          </w:p>
        </w:tc>
      </w:tr>
      <w:tr w:rsidR="00633DB8" w:rsidRPr="00633DB8" w14:paraId="65BEB50E" w14:textId="77777777" w:rsidTr="00E70666">
        <w:trPr>
          <w:trHeight w:val="2093"/>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3AB42244"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lastRenderedPageBreak/>
              <w:t>4</w:t>
            </w:r>
          </w:p>
        </w:tc>
        <w:tc>
          <w:tcPr>
            <w:tcW w:w="765" w:type="pct"/>
            <w:tcBorders>
              <w:top w:val="nil"/>
              <w:left w:val="nil"/>
              <w:bottom w:val="single" w:sz="4" w:space="0" w:color="auto"/>
              <w:right w:val="single" w:sz="4" w:space="0" w:color="auto"/>
            </w:tcBorders>
            <w:shd w:val="clear" w:color="auto" w:fill="D9F2D0"/>
            <w:vAlign w:val="center"/>
            <w:hideMark/>
          </w:tcPr>
          <w:p w14:paraId="2B9361D9"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Domov svatého Norberta, </w:t>
            </w:r>
            <w:proofErr w:type="spellStart"/>
            <w:r w:rsidRPr="00633DB8">
              <w:rPr>
                <w:rFonts w:ascii="Calibri" w:eastAsia="Times New Roman" w:hAnsi="Calibri" w:cs="Calibri"/>
                <w:sz w:val="20"/>
                <w:szCs w:val="20"/>
              </w:rPr>
              <w:t>z.ú</w:t>
            </w:r>
            <w:proofErr w:type="spellEnd"/>
            <w:r w:rsidRPr="00633DB8">
              <w:rPr>
                <w:rFonts w:ascii="Calibri" w:eastAsia="Times New Roman" w:hAnsi="Calibri" w:cs="Calibri"/>
                <w:sz w:val="20"/>
                <w:szCs w:val="20"/>
              </w:rPr>
              <w:t>.</w:t>
            </w:r>
          </w:p>
        </w:tc>
        <w:tc>
          <w:tcPr>
            <w:tcW w:w="598" w:type="pct"/>
            <w:tcBorders>
              <w:top w:val="nil"/>
              <w:left w:val="nil"/>
              <w:bottom w:val="single" w:sz="4" w:space="0" w:color="auto"/>
              <w:right w:val="single" w:sz="4" w:space="0" w:color="auto"/>
            </w:tcBorders>
            <w:shd w:val="clear" w:color="auto" w:fill="D9F2D0"/>
            <w:vAlign w:val="center"/>
            <w:hideMark/>
          </w:tcPr>
          <w:p w14:paraId="501D7ED3"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pečovatelská služba (§ 40)</w:t>
            </w:r>
          </w:p>
        </w:tc>
        <w:tc>
          <w:tcPr>
            <w:tcW w:w="633" w:type="pct"/>
            <w:tcBorders>
              <w:top w:val="nil"/>
              <w:left w:val="nil"/>
              <w:bottom w:val="single" w:sz="4" w:space="0" w:color="auto"/>
              <w:right w:val="single" w:sz="4" w:space="0" w:color="auto"/>
            </w:tcBorders>
            <w:shd w:val="clear" w:color="auto" w:fill="D9F2D0"/>
            <w:vAlign w:val="center"/>
            <w:hideMark/>
          </w:tcPr>
          <w:p w14:paraId="169738F3"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terénní</w:t>
            </w:r>
          </w:p>
        </w:tc>
        <w:tc>
          <w:tcPr>
            <w:tcW w:w="2232" w:type="pct"/>
            <w:tcBorders>
              <w:top w:val="nil"/>
              <w:left w:val="nil"/>
              <w:bottom w:val="single" w:sz="4" w:space="0" w:color="auto"/>
              <w:right w:val="single" w:sz="4" w:space="0" w:color="auto"/>
            </w:tcBorders>
            <w:shd w:val="clear" w:color="auto" w:fill="D9F2D0"/>
            <w:vAlign w:val="center"/>
            <w:hideMark/>
          </w:tcPr>
          <w:p w14:paraId="00B2A79D" w14:textId="27366BFD" w:rsidR="00E70666" w:rsidRPr="00E70666" w:rsidRDefault="00E70666" w:rsidP="00633DB8">
            <w:pPr>
              <w:spacing w:before="0" w:line="240" w:lineRule="auto"/>
              <w:rPr>
                <w:rFonts w:ascii="Calibri" w:eastAsia="Times New Roman" w:hAnsi="Calibri" w:cs="Calibri"/>
                <w:sz w:val="20"/>
                <w:szCs w:val="20"/>
              </w:rPr>
            </w:pPr>
            <w:r w:rsidRPr="00E70666">
              <w:rPr>
                <w:rFonts w:ascii="Calibri" w:eastAsia="Times New Roman" w:hAnsi="Calibri" w:cs="Calibri"/>
                <w:sz w:val="20"/>
                <w:szCs w:val="20"/>
              </w:rPr>
              <w:t xml:space="preserve">jedná se o transformaci </w:t>
            </w:r>
            <w:r>
              <w:rPr>
                <w:rFonts w:ascii="Calibri" w:eastAsia="Times New Roman" w:hAnsi="Calibri" w:cs="Calibri"/>
                <w:sz w:val="20"/>
                <w:szCs w:val="20"/>
              </w:rPr>
              <w:t xml:space="preserve">terénní služby </w:t>
            </w:r>
            <w:r w:rsidRPr="00E70666">
              <w:rPr>
                <w:rFonts w:ascii="Calibri" w:eastAsia="Times New Roman" w:hAnsi="Calibri" w:cs="Calibri"/>
                <w:sz w:val="20"/>
                <w:szCs w:val="20"/>
              </w:rPr>
              <w:t>na pobytovou (viz žádost č.3)</w:t>
            </w:r>
            <w:r>
              <w:rPr>
                <w:rFonts w:ascii="Calibri" w:eastAsia="Times New Roman" w:hAnsi="Calibri" w:cs="Calibri"/>
                <w:sz w:val="20"/>
                <w:szCs w:val="20"/>
              </w:rPr>
              <w:t>, vyřazení na žádost poskytovatele</w:t>
            </w:r>
          </w:p>
          <w:p w14:paraId="6147D1D7" w14:textId="77777777" w:rsidR="00E70666" w:rsidRDefault="00E70666" w:rsidP="00633DB8">
            <w:pPr>
              <w:spacing w:before="0" w:line="240" w:lineRule="auto"/>
              <w:rPr>
                <w:rFonts w:ascii="Calibri" w:eastAsia="Times New Roman" w:hAnsi="Calibri" w:cs="Calibri"/>
                <w:b/>
                <w:bCs/>
                <w:sz w:val="20"/>
                <w:szCs w:val="20"/>
              </w:rPr>
            </w:pPr>
          </w:p>
          <w:p w14:paraId="0407F616" w14:textId="77777777" w:rsidR="00E70666" w:rsidRDefault="00E70666" w:rsidP="00633DB8">
            <w:pPr>
              <w:spacing w:before="0" w:line="240" w:lineRule="auto"/>
              <w:rPr>
                <w:rFonts w:ascii="Calibri" w:eastAsia="Times New Roman" w:hAnsi="Calibri" w:cs="Calibri"/>
                <w:b/>
                <w:bCs/>
                <w:sz w:val="20"/>
                <w:szCs w:val="20"/>
              </w:rPr>
            </w:pPr>
          </w:p>
          <w:p w14:paraId="42708304" w14:textId="1B4A14AD"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vyřazení ze sítě</w:t>
            </w:r>
          </w:p>
        </w:tc>
        <w:tc>
          <w:tcPr>
            <w:tcW w:w="584" w:type="pct"/>
            <w:tcBorders>
              <w:top w:val="nil"/>
              <w:left w:val="nil"/>
              <w:bottom w:val="single" w:sz="4" w:space="0" w:color="auto"/>
              <w:right w:val="single" w:sz="4" w:space="0" w:color="auto"/>
            </w:tcBorders>
            <w:shd w:val="clear" w:color="auto" w:fill="D9F2D0"/>
            <w:vAlign w:val="center"/>
            <w:hideMark/>
          </w:tcPr>
          <w:p w14:paraId="715F07E4"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-3,25</w:t>
            </w:r>
          </w:p>
        </w:tc>
      </w:tr>
      <w:tr w:rsidR="00633DB8" w:rsidRPr="00633DB8" w14:paraId="3581A011" w14:textId="77777777" w:rsidTr="00633DB8">
        <w:trPr>
          <w:trHeight w:val="2835"/>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6034C468"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5</w:t>
            </w:r>
          </w:p>
        </w:tc>
        <w:tc>
          <w:tcPr>
            <w:tcW w:w="765" w:type="pct"/>
            <w:tcBorders>
              <w:top w:val="nil"/>
              <w:left w:val="nil"/>
              <w:bottom w:val="single" w:sz="4" w:space="0" w:color="auto"/>
              <w:right w:val="single" w:sz="4" w:space="0" w:color="auto"/>
            </w:tcBorders>
            <w:shd w:val="clear" w:color="auto" w:fill="D9F2D0"/>
            <w:vAlign w:val="center"/>
            <w:hideMark/>
          </w:tcPr>
          <w:p w14:paraId="635FC051" w14:textId="7780439D"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Duševní opora v komunitě, </w:t>
            </w:r>
            <w:proofErr w:type="spellStart"/>
            <w:r w:rsidRPr="00633DB8">
              <w:rPr>
                <w:rFonts w:ascii="Calibri" w:eastAsia="Times New Roman" w:hAnsi="Calibri" w:cs="Calibri"/>
                <w:sz w:val="20"/>
                <w:szCs w:val="20"/>
              </w:rPr>
              <w:t>z.ú</w:t>
            </w:r>
            <w:proofErr w:type="spellEnd"/>
            <w:r w:rsidRPr="00633DB8">
              <w:rPr>
                <w:rFonts w:ascii="Calibri" w:eastAsia="Times New Roman" w:hAnsi="Calibri" w:cs="Calibri"/>
                <w:sz w:val="20"/>
                <w:szCs w:val="20"/>
              </w:rPr>
              <w:t>.</w:t>
            </w:r>
          </w:p>
        </w:tc>
        <w:tc>
          <w:tcPr>
            <w:tcW w:w="598" w:type="pct"/>
            <w:tcBorders>
              <w:top w:val="nil"/>
              <w:left w:val="nil"/>
              <w:bottom w:val="single" w:sz="4" w:space="0" w:color="auto"/>
              <w:right w:val="single" w:sz="4" w:space="0" w:color="auto"/>
            </w:tcBorders>
            <w:shd w:val="clear" w:color="auto" w:fill="D9F2D0"/>
            <w:vAlign w:val="center"/>
            <w:hideMark/>
          </w:tcPr>
          <w:p w14:paraId="6B61CAE6"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sociální rehabilitace (§ 70)</w:t>
            </w:r>
          </w:p>
        </w:tc>
        <w:tc>
          <w:tcPr>
            <w:tcW w:w="633" w:type="pct"/>
            <w:tcBorders>
              <w:top w:val="nil"/>
              <w:left w:val="nil"/>
              <w:bottom w:val="single" w:sz="4" w:space="0" w:color="auto"/>
              <w:right w:val="single" w:sz="4" w:space="0" w:color="auto"/>
            </w:tcBorders>
            <w:shd w:val="clear" w:color="auto" w:fill="D9F2D0"/>
            <w:vAlign w:val="center"/>
            <w:hideMark/>
          </w:tcPr>
          <w:p w14:paraId="21B1D3D7"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terénní ambulantní</w:t>
            </w:r>
          </w:p>
        </w:tc>
        <w:tc>
          <w:tcPr>
            <w:tcW w:w="2232" w:type="pct"/>
            <w:tcBorders>
              <w:top w:val="nil"/>
              <w:left w:val="nil"/>
              <w:bottom w:val="single" w:sz="4" w:space="0" w:color="auto"/>
              <w:right w:val="single" w:sz="4" w:space="0" w:color="auto"/>
            </w:tcBorders>
            <w:shd w:val="clear" w:color="auto" w:fill="D9F2D0"/>
            <w:vAlign w:val="center"/>
            <w:hideMark/>
          </w:tcPr>
          <w:p w14:paraId="3E18A35E"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65 bodů; žadatel dosáhl potřebného počtu bodů; služba je v souladu se SPRSS 2024-2026 a zřízení služby je zahrnuto v komunitním plánu ORP Prostějov; ORP Prostějov považuje službu za potřebnou, s příslibem finanční podpory; OSV navrhuje zařadit službu podmíněně na dobu 2 let</w:t>
            </w:r>
          </w:p>
          <w:p w14:paraId="524012D5" w14:textId="77777777" w:rsidR="00633DB8" w:rsidRPr="00633DB8" w:rsidRDefault="00633DB8" w:rsidP="00633DB8">
            <w:pPr>
              <w:spacing w:before="0" w:line="240" w:lineRule="auto"/>
              <w:rPr>
                <w:rFonts w:ascii="Calibri" w:eastAsia="Times New Roman" w:hAnsi="Calibri" w:cs="Calibri"/>
                <w:b/>
                <w:bCs/>
                <w:sz w:val="20"/>
                <w:szCs w:val="20"/>
              </w:rPr>
            </w:pPr>
          </w:p>
          <w:p w14:paraId="7F1F4C5E"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podmíněnému zařazení po dobu 2 let</w:t>
            </w:r>
          </w:p>
          <w:p w14:paraId="6EC1ADED" w14:textId="77777777" w:rsidR="00633DB8" w:rsidRPr="00633DB8" w:rsidRDefault="00633DB8" w:rsidP="00633DB8">
            <w:pPr>
              <w:spacing w:before="0" w:line="240" w:lineRule="auto"/>
              <w:rPr>
                <w:rFonts w:ascii="Calibri" w:eastAsia="Times New Roman" w:hAnsi="Calibri" w:cs="Calibri"/>
                <w:b/>
                <w:bCs/>
                <w:sz w:val="20"/>
                <w:szCs w:val="20"/>
              </w:rPr>
            </w:pPr>
          </w:p>
        </w:tc>
        <w:tc>
          <w:tcPr>
            <w:tcW w:w="584" w:type="pct"/>
            <w:tcBorders>
              <w:top w:val="nil"/>
              <w:left w:val="nil"/>
              <w:bottom w:val="single" w:sz="4" w:space="0" w:color="auto"/>
              <w:right w:val="single" w:sz="4" w:space="0" w:color="auto"/>
            </w:tcBorders>
            <w:shd w:val="clear" w:color="auto" w:fill="D9F2D0"/>
            <w:vAlign w:val="center"/>
            <w:hideMark/>
          </w:tcPr>
          <w:p w14:paraId="173A6000"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4</w:t>
            </w:r>
          </w:p>
        </w:tc>
      </w:tr>
      <w:tr w:rsidR="00633DB8" w:rsidRPr="00633DB8" w14:paraId="61EFF71D" w14:textId="77777777" w:rsidTr="00633DB8">
        <w:trPr>
          <w:trHeight w:val="2385"/>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48E66B44"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6</w:t>
            </w:r>
          </w:p>
        </w:tc>
        <w:tc>
          <w:tcPr>
            <w:tcW w:w="765" w:type="pct"/>
            <w:tcBorders>
              <w:top w:val="nil"/>
              <w:left w:val="nil"/>
              <w:bottom w:val="single" w:sz="4" w:space="0" w:color="auto"/>
              <w:right w:val="single" w:sz="4" w:space="0" w:color="auto"/>
            </w:tcBorders>
            <w:shd w:val="clear" w:color="auto" w:fill="D9F2D0"/>
            <w:vAlign w:val="center"/>
            <w:hideMark/>
          </w:tcPr>
          <w:p w14:paraId="4AADE74B"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ESTER z.s.</w:t>
            </w:r>
          </w:p>
        </w:tc>
        <w:tc>
          <w:tcPr>
            <w:tcW w:w="598" w:type="pct"/>
            <w:tcBorders>
              <w:top w:val="nil"/>
              <w:left w:val="nil"/>
              <w:bottom w:val="single" w:sz="4" w:space="0" w:color="auto"/>
              <w:right w:val="single" w:sz="4" w:space="0" w:color="auto"/>
            </w:tcBorders>
            <w:shd w:val="clear" w:color="auto" w:fill="D9F2D0"/>
            <w:vAlign w:val="center"/>
            <w:hideMark/>
          </w:tcPr>
          <w:p w14:paraId="0C8F0F0D"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chráněné bydlení (§ 51)</w:t>
            </w:r>
          </w:p>
        </w:tc>
        <w:tc>
          <w:tcPr>
            <w:tcW w:w="633" w:type="pct"/>
            <w:tcBorders>
              <w:top w:val="nil"/>
              <w:left w:val="nil"/>
              <w:bottom w:val="single" w:sz="4" w:space="0" w:color="auto"/>
              <w:right w:val="single" w:sz="4" w:space="0" w:color="auto"/>
            </w:tcBorders>
            <w:shd w:val="clear" w:color="auto" w:fill="D9F2D0"/>
            <w:vAlign w:val="center"/>
            <w:hideMark/>
          </w:tcPr>
          <w:p w14:paraId="6741214A"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pobytová</w:t>
            </w:r>
          </w:p>
        </w:tc>
        <w:tc>
          <w:tcPr>
            <w:tcW w:w="2232" w:type="pct"/>
            <w:tcBorders>
              <w:top w:val="nil"/>
              <w:left w:val="nil"/>
              <w:bottom w:val="single" w:sz="4" w:space="0" w:color="auto"/>
              <w:right w:val="single" w:sz="4" w:space="0" w:color="auto"/>
            </w:tcBorders>
            <w:shd w:val="clear" w:color="auto" w:fill="D9F2D0"/>
            <w:vAlign w:val="center"/>
            <w:hideMark/>
          </w:tcPr>
          <w:p w14:paraId="48A6FD3B"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58 bodů; žadatel dosáhl potřebného počtu bodů; služba je v souladu se SPRSS 2024-2026 a zřízení služby je zahrnuto v komunitním plánu ORP Jeseník; ORP Jeseník považuje službu za potřebnou, s příslibem finanční podpory</w:t>
            </w:r>
          </w:p>
          <w:p w14:paraId="494DA91C" w14:textId="77777777" w:rsidR="00633DB8" w:rsidRPr="00633DB8" w:rsidRDefault="00633DB8" w:rsidP="00633DB8">
            <w:pPr>
              <w:spacing w:before="0" w:line="240" w:lineRule="auto"/>
              <w:rPr>
                <w:rFonts w:ascii="Calibri" w:eastAsia="Times New Roman" w:hAnsi="Calibri" w:cs="Calibri"/>
                <w:b/>
                <w:bCs/>
                <w:sz w:val="20"/>
                <w:szCs w:val="20"/>
              </w:rPr>
            </w:pPr>
          </w:p>
          <w:p w14:paraId="435D677F"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zařazení do sítě</w:t>
            </w:r>
          </w:p>
        </w:tc>
        <w:tc>
          <w:tcPr>
            <w:tcW w:w="584" w:type="pct"/>
            <w:tcBorders>
              <w:top w:val="nil"/>
              <w:left w:val="nil"/>
              <w:bottom w:val="single" w:sz="4" w:space="0" w:color="auto"/>
              <w:right w:val="single" w:sz="4" w:space="0" w:color="auto"/>
            </w:tcBorders>
            <w:shd w:val="clear" w:color="auto" w:fill="D9F2D0"/>
            <w:vAlign w:val="center"/>
            <w:hideMark/>
          </w:tcPr>
          <w:p w14:paraId="7158422F"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12</w:t>
            </w:r>
          </w:p>
        </w:tc>
      </w:tr>
      <w:tr w:rsidR="00633DB8" w:rsidRPr="00633DB8" w14:paraId="3933E617" w14:textId="77777777" w:rsidTr="00633DB8">
        <w:trPr>
          <w:trHeight w:val="3450"/>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4DE7FF0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7</w:t>
            </w:r>
          </w:p>
        </w:tc>
        <w:tc>
          <w:tcPr>
            <w:tcW w:w="765" w:type="pct"/>
            <w:tcBorders>
              <w:top w:val="nil"/>
              <w:left w:val="nil"/>
              <w:bottom w:val="single" w:sz="4" w:space="0" w:color="auto"/>
              <w:right w:val="single" w:sz="4" w:space="0" w:color="auto"/>
            </w:tcBorders>
            <w:shd w:val="clear" w:color="auto" w:fill="D9F2D0"/>
            <w:vAlign w:val="center"/>
            <w:hideMark/>
          </w:tcPr>
          <w:p w14:paraId="5830AF06" w14:textId="77777777" w:rsidR="00633DB8" w:rsidRPr="00633DB8" w:rsidRDefault="00633DB8" w:rsidP="00633DB8">
            <w:pPr>
              <w:spacing w:before="0" w:line="240" w:lineRule="auto"/>
              <w:rPr>
                <w:rFonts w:ascii="Calibri" w:eastAsia="Times New Roman" w:hAnsi="Calibri" w:cs="Calibri"/>
                <w:sz w:val="20"/>
                <w:szCs w:val="20"/>
              </w:rPr>
            </w:pPr>
            <w:proofErr w:type="spellStart"/>
            <w:r w:rsidRPr="00633DB8">
              <w:rPr>
                <w:rFonts w:ascii="Calibri" w:eastAsia="Times New Roman" w:hAnsi="Calibri" w:cs="Calibri"/>
                <w:sz w:val="20"/>
                <w:szCs w:val="20"/>
              </w:rPr>
              <w:t>Global</w:t>
            </w:r>
            <w:proofErr w:type="spellEnd"/>
            <w:r w:rsidRPr="00633DB8">
              <w:rPr>
                <w:rFonts w:ascii="Calibri" w:eastAsia="Times New Roman" w:hAnsi="Calibri" w:cs="Calibri"/>
                <w:sz w:val="20"/>
                <w:szCs w:val="20"/>
              </w:rPr>
              <w:t xml:space="preserve"> Partner sociální služby s.r.o.</w:t>
            </w:r>
          </w:p>
        </w:tc>
        <w:tc>
          <w:tcPr>
            <w:tcW w:w="598" w:type="pct"/>
            <w:tcBorders>
              <w:top w:val="nil"/>
              <w:left w:val="nil"/>
              <w:bottom w:val="single" w:sz="4" w:space="0" w:color="auto"/>
              <w:right w:val="single" w:sz="4" w:space="0" w:color="auto"/>
            </w:tcBorders>
            <w:shd w:val="clear" w:color="auto" w:fill="D9F2D0"/>
            <w:vAlign w:val="center"/>
            <w:hideMark/>
          </w:tcPr>
          <w:p w14:paraId="5EB76B72"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osobní asistence (§ 39)</w:t>
            </w:r>
          </w:p>
        </w:tc>
        <w:tc>
          <w:tcPr>
            <w:tcW w:w="633" w:type="pct"/>
            <w:tcBorders>
              <w:top w:val="nil"/>
              <w:left w:val="nil"/>
              <w:bottom w:val="single" w:sz="4" w:space="0" w:color="auto"/>
              <w:right w:val="single" w:sz="4" w:space="0" w:color="auto"/>
            </w:tcBorders>
            <w:shd w:val="clear" w:color="auto" w:fill="D9F2D0"/>
            <w:vAlign w:val="center"/>
            <w:hideMark/>
          </w:tcPr>
          <w:p w14:paraId="3DA1CE54"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terénní</w:t>
            </w:r>
          </w:p>
        </w:tc>
        <w:tc>
          <w:tcPr>
            <w:tcW w:w="2232" w:type="pct"/>
            <w:tcBorders>
              <w:top w:val="nil"/>
              <w:left w:val="nil"/>
              <w:bottom w:val="single" w:sz="4" w:space="0" w:color="auto"/>
              <w:right w:val="single" w:sz="4" w:space="0" w:color="auto"/>
            </w:tcBorders>
            <w:shd w:val="clear" w:color="auto" w:fill="D9F2D0"/>
            <w:vAlign w:val="center"/>
            <w:hideMark/>
          </w:tcPr>
          <w:p w14:paraId="03754529"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47 bodů, žadatel dosáhl potřebného počtu bodů; služba není v souladu se SPRSS 2024-2026 a zřízení služby je zahrnuto v komunitním plánu pouze ORP Prostějov; rovněž pouze ORP Prostějov považuje službu za potřebnou, s příslibem finanční podpory; služba je nyní financována prostřednictvím MPSV sítě B.</w:t>
            </w:r>
          </w:p>
          <w:p w14:paraId="44EAE4CD" w14:textId="77777777" w:rsidR="00633DB8" w:rsidRPr="00633DB8" w:rsidRDefault="00633DB8" w:rsidP="00633DB8">
            <w:pPr>
              <w:spacing w:before="0" w:line="240" w:lineRule="auto"/>
              <w:rPr>
                <w:rFonts w:ascii="Calibri" w:eastAsia="Times New Roman" w:hAnsi="Calibri" w:cs="Calibri"/>
                <w:b/>
                <w:bCs/>
                <w:sz w:val="20"/>
                <w:szCs w:val="20"/>
              </w:rPr>
            </w:pPr>
          </w:p>
          <w:p w14:paraId="02585B14"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zařazení do sítě</w:t>
            </w:r>
          </w:p>
        </w:tc>
        <w:tc>
          <w:tcPr>
            <w:tcW w:w="584" w:type="pct"/>
            <w:tcBorders>
              <w:top w:val="nil"/>
              <w:left w:val="nil"/>
              <w:bottom w:val="single" w:sz="4" w:space="0" w:color="auto"/>
              <w:right w:val="single" w:sz="4" w:space="0" w:color="auto"/>
            </w:tcBorders>
            <w:shd w:val="clear" w:color="auto" w:fill="D9F2D0"/>
            <w:vAlign w:val="center"/>
            <w:hideMark/>
          </w:tcPr>
          <w:p w14:paraId="12AAB023"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4 (</w:t>
            </w:r>
            <w:proofErr w:type="spellStart"/>
            <w:r w:rsidRPr="00633DB8">
              <w:rPr>
                <w:rFonts w:ascii="Calibri" w:eastAsia="Times New Roman" w:hAnsi="Calibri" w:cs="Calibri"/>
                <w:b/>
                <w:bCs/>
                <w:sz w:val="20"/>
                <w:szCs w:val="20"/>
              </w:rPr>
              <w:t>fin.prostř</w:t>
            </w:r>
            <w:proofErr w:type="spellEnd"/>
            <w:r w:rsidRPr="00633DB8">
              <w:rPr>
                <w:rFonts w:ascii="Calibri" w:eastAsia="Times New Roman" w:hAnsi="Calibri" w:cs="Calibri"/>
                <w:b/>
                <w:bCs/>
                <w:sz w:val="20"/>
                <w:szCs w:val="20"/>
              </w:rPr>
              <w:t>. sítě B)</w:t>
            </w:r>
          </w:p>
        </w:tc>
      </w:tr>
      <w:tr w:rsidR="00633DB8" w:rsidRPr="00633DB8" w14:paraId="33F54B76" w14:textId="77777777" w:rsidTr="00E70666">
        <w:trPr>
          <w:trHeight w:val="2660"/>
        </w:trPr>
        <w:tc>
          <w:tcPr>
            <w:tcW w:w="189" w:type="pct"/>
            <w:tcBorders>
              <w:top w:val="nil"/>
              <w:left w:val="single" w:sz="4" w:space="0" w:color="auto"/>
              <w:bottom w:val="single" w:sz="4" w:space="0" w:color="auto"/>
              <w:right w:val="single" w:sz="4" w:space="0" w:color="auto"/>
            </w:tcBorders>
            <w:shd w:val="clear" w:color="auto" w:fill="CAEDFB"/>
            <w:vAlign w:val="center"/>
            <w:hideMark/>
          </w:tcPr>
          <w:p w14:paraId="170ED3C1"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lastRenderedPageBreak/>
              <w:t>8</w:t>
            </w:r>
          </w:p>
        </w:tc>
        <w:tc>
          <w:tcPr>
            <w:tcW w:w="765" w:type="pct"/>
            <w:tcBorders>
              <w:top w:val="nil"/>
              <w:left w:val="nil"/>
              <w:bottom w:val="single" w:sz="4" w:space="0" w:color="auto"/>
              <w:right w:val="single" w:sz="4" w:space="0" w:color="auto"/>
            </w:tcBorders>
            <w:shd w:val="clear" w:color="auto" w:fill="CAEDFB"/>
            <w:vAlign w:val="center"/>
            <w:hideMark/>
          </w:tcPr>
          <w:p w14:paraId="2EDE4CF6"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Hospic na Svatém Kopečku</w:t>
            </w:r>
          </w:p>
        </w:tc>
        <w:tc>
          <w:tcPr>
            <w:tcW w:w="598" w:type="pct"/>
            <w:tcBorders>
              <w:top w:val="nil"/>
              <w:left w:val="nil"/>
              <w:bottom w:val="single" w:sz="4" w:space="0" w:color="auto"/>
              <w:right w:val="single" w:sz="4" w:space="0" w:color="auto"/>
            </w:tcBorders>
            <w:shd w:val="clear" w:color="auto" w:fill="CAEDFB"/>
            <w:vAlign w:val="center"/>
            <w:hideMark/>
          </w:tcPr>
          <w:p w14:paraId="213B3589"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odborné sociální poradenství (§ 37)</w:t>
            </w:r>
          </w:p>
        </w:tc>
        <w:tc>
          <w:tcPr>
            <w:tcW w:w="633" w:type="pct"/>
            <w:tcBorders>
              <w:top w:val="nil"/>
              <w:left w:val="nil"/>
              <w:bottom w:val="single" w:sz="4" w:space="0" w:color="auto"/>
              <w:right w:val="single" w:sz="4" w:space="0" w:color="auto"/>
            </w:tcBorders>
            <w:shd w:val="clear" w:color="auto" w:fill="CAEDFB"/>
            <w:vAlign w:val="center"/>
            <w:hideMark/>
          </w:tcPr>
          <w:p w14:paraId="77819D23" w14:textId="77777777" w:rsidR="00633DB8" w:rsidRPr="00633DB8" w:rsidRDefault="00633DB8" w:rsidP="00633DB8">
            <w:pPr>
              <w:spacing w:before="0" w:line="240" w:lineRule="auto"/>
              <w:rPr>
                <w:rFonts w:ascii="Calibri" w:eastAsia="Times New Roman" w:hAnsi="Calibri" w:cs="Calibri"/>
                <w:sz w:val="20"/>
                <w:szCs w:val="20"/>
              </w:rPr>
            </w:pPr>
            <w:proofErr w:type="gramStart"/>
            <w:r w:rsidRPr="00633DB8">
              <w:rPr>
                <w:rFonts w:ascii="Calibri" w:eastAsia="Times New Roman" w:hAnsi="Calibri" w:cs="Calibri"/>
                <w:sz w:val="20"/>
                <w:szCs w:val="20"/>
              </w:rPr>
              <w:t>terénní,  ambulantní</w:t>
            </w:r>
            <w:proofErr w:type="gramEnd"/>
          </w:p>
        </w:tc>
        <w:tc>
          <w:tcPr>
            <w:tcW w:w="2232" w:type="pct"/>
            <w:tcBorders>
              <w:top w:val="nil"/>
              <w:left w:val="nil"/>
              <w:bottom w:val="single" w:sz="4" w:space="0" w:color="auto"/>
              <w:right w:val="single" w:sz="4" w:space="0" w:color="auto"/>
            </w:tcBorders>
            <w:shd w:val="clear" w:color="auto" w:fill="CAEDFB"/>
            <w:vAlign w:val="center"/>
            <w:hideMark/>
          </w:tcPr>
          <w:p w14:paraId="427635C9" w14:textId="6B83A0D0"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55 bodů; žadatel dosáhl potřebného počtu bodů; zřízení služby není v souladu se SPRSS 2024-2026; služba je součástí komunitního plánu u 3 ORP (Lipník, Mohelnice, Prostějov); zřízení služby považuje za potřebné 10 ORP a z toho 9 ORP vyjadřuje finanční příslib.; OSV navrhuje zařadit 1 úvazek na Šumpersko a Jesenicko, protože se jedná o nepokryté území</w:t>
            </w:r>
          </w:p>
          <w:p w14:paraId="4BFA336A" w14:textId="77777777" w:rsidR="00633DB8" w:rsidRPr="00633DB8" w:rsidRDefault="00633DB8" w:rsidP="00633DB8">
            <w:pPr>
              <w:spacing w:before="0" w:line="240" w:lineRule="auto"/>
              <w:rPr>
                <w:rFonts w:ascii="Calibri" w:eastAsia="Times New Roman" w:hAnsi="Calibri" w:cs="Calibri"/>
                <w:b/>
                <w:bCs/>
                <w:sz w:val="20"/>
                <w:szCs w:val="20"/>
              </w:rPr>
            </w:pPr>
          </w:p>
          <w:p w14:paraId="589349B7"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částečně doporučeno k zařazení do sítě</w:t>
            </w:r>
          </w:p>
        </w:tc>
        <w:tc>
          <w:tcPr>
            <w:tcW w:w="584" w:type="pct"/>
            <w:tcBorders>
              <w:top w:val="nil"/>
              <w:left w:val="nil"/>
              <w:bottom w:val="single" w:sz="4" w:space="0" w:color="auto"/>
              <w:right w:val="single" w:sz="4" w:space="0" w:color="auto"/>
            </w:tcBorders>
            <w:shd w:val="clear" w:color="auto" w:fill="CAEDFB"/>
            <w:vAlign w:val="center"/>
            <w:hideMark/>
          </w:tcPr>
          <w:p w14:paraId="257FD403"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1</w:t>
            </w:r>
          </w:p>
        </w:tc>
      </w:tr>
      <w:tr w:rsidR="00633DB8" w:rsidRPr="00633DB8" w14:paraId="334288EC" w14:textId="77777777" w:rsidTr="00633DB8">
        <w:trPr>
          <w:trHeight w:val="3420"/>
        </w:trPr>
        <w:tc>
          <w:tcPr>
            <w:tcW w:w="189" w:type="pct"/>
            <w:tcBorders>
              <w:top w:val="nil"/>
              <w:left w:val="single" w:sz="4" w:space="0" w:color="auto"/>
              <w:bottom w:val="single" w:sz="4" w:space="0" w:color="auto"/>
              <w:right w:val="single" w:sz="4" w:space="0" w:color="auto"/>
            </w:tcBorders>
            <w:shd w:val="clear" w:color="auto" w:fill="FAE2D5"/>
            <w:vAlign w:val="center"/>
            <w:hideMark/>
          </w:tcPr>
          <w:p w14:paraId="645CB592"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9</w:t>
            </w:r>
          </w:p>
        </w:tc>
        <w:tc>
          <w:tcPr>
            <w:tcW w:w="765" w:type="pct"/>
            <w:tcBorders>
              <w:top w:val="nil"/>
              <w:left w:val="nil"/>
              <w:bottom w:val="single" w:sz="4" w:space="0" w:color="auto"/>
              <w:right w:val="single" w:sz="4" w:space="0" w:color="auto"/>
            </w:tcBorders>
            <w:shd w:val="clear" w:color="auto" w:fill="FAE2D5"/>
            <w:vAlign w:val="center"/>
            <w:hideMark/>
          </w:tcPr>
          <w:p w14:paraId="53AE9BB9"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Charita Olomouc</w:t>
            </w:r>
          </w:p>
        </w:tc>
        <w:tc>
          <w:tcPr>
            <w:tcW w:w="598" w:type="pct"/>
            <w:tcBorders>
              <w:top w:val="nil"/>
              <w:left w:val="nil"/>
              <w:bottom w:val="single" w:sz="4" w:space="0" w:color="auto"/>
              <w:right w:val="single" w:sz="4" w:space="0" w:color="auto"/>
            </w:tcBorders>
            <w:shd w:val="clear" w:color="auto" w:fill="FAE2D5"/>
            <w:vAlign w:val="center"/>
            <w:hideMark/>
          </w:tcPr>
          <w:p w14:paraId="6C98E172"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tísňová péče (§ 41)</w:t>
            </w:r>
          </w:p>
        </w:tc>
        <w:tc>
          <w:tcPr>
            <w:tcW w:w="633" w:type="pct"/>
            <w:tcBorders>
              <w:top w:val="nil"/>
              <w:left w:val="nil"/>
              <w:bottom w:val="single" w:sz="4" w:space="0" w:color="auto"/>
              <w:right w:val="single" w:sz="4" w:space="0" w:color="auto"/>
            </w:tcBorders>
            <w:shd w:val="clear" w:color="auto" w:fill="FAE2D5"/>
            <w:vAlign w:val="center"/>
            <w:hideMark/>
          </w:tcPr>
          <w:p w14:paraId="400DB911"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terénní</w:t>
            </w:r>
          </w:p>
        </w:tc>
        <w:tc>
          <w:tcPr>
            <w:tcW w:w="2232" w:type="pct"/>
            <w:tcBorders>
              <w:top w:val="nil"/>
              <w:left w:val="nil"/>
              <w:bottom w:val="single" w:sz="4" w:space="0" w:color="auto"/>
              <w:right w:val="single" w:sz="4" w:space="0" w:color="auto"/>
            </w:tcBorders>
            <w:shd w:val="clear" w:color="auto" w:fill="FAE2D5"/>
            <w:vAlign w:val="center"/>
            <w:hideMark/>
          </w:tcPr>
          <w:p w14:paraId="69819551" w14:textId="7E2C8062"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47 bodů; žadatel dosáhl potřebného počtu bodů; nesplněn parametr potřebnosti, služba není v souladu se SPRSS 2024-2026; ORP Olomouc považuje službu za potřebnou, s příslibem finanční podpory; ORP Přerov uvádí, že spolupracuje s jiným poskytovatelem; v OK působí min. 2 etablovaní poskytovatelé tísňové péče financovaní prostřednictvím ministerské sítě B a disponují volnými kapacitami; požadavek na personální zajištění služby </w:t>
            </w:r>
            <w:r w:rsidR="00E70666">
              <w:rPr>
                <w:rFonts w:ascii="Calibri" w:eastAsia="Times New Roman" w:hAnsi="Calibri" w:cs="Calibri"/>
                <w:sz w:val="20"/>
                <w:szCs w:val="20"/>
              </w:rPr>
              <w:t xml:space="preserve">ve výši 8,0 úvazků </w:t>
            </w:r>
            <w:r w:rsidRPr="00633DB8">
              <w:rPr>
                <w:rFonts w:ascii="Calibri" w:eastAsia="Times New Roman" w:hAnsi="Calibri" w:cs="Calibri"/>
                <w:sz w:val="20"/>
                <w:szCs w:val="20"/>
              </w:rPr>
              <w:t>je naddimenzovaný</w:t>
            </w:r>
          </w:p>
          <w:p w14:paraId="2B4A43F5" w14:textId="77777777" w:rsidR="00633DB8" w:rsidRPr="00633DB8" w:rsidRDefault="00633DB8" w:rsidP="00633DB8">
            <w:pPr>
              <w:spacing w:before="0" w:line="240" w:lineRule="auto"/>
              <w:rPr>
                <w:rFonts w:ascii="Calibri" w:eastAsia="Times New Roman" w:hAnsi="Calibri" w:cs="Calibri"/>
                <w:b/>
                <w:bCs/>
                <w:sz w:val="20"/>
                <w:szCs w:val="20"/>
              </w:rPr>
            </w:pPr>
          </w:p>
          <w:p w14:paraId="5B1DC753"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nedoporučeno k zařazení do sítě</w:t>
            </w:r>
          </w:p>
        </w:tc>
        <w:tc>
          <w:tcPr>
            <w:tcW w:w="584" w:type="pct"/>
            <w:tcBorders>
              <w:top w:val="nil"/>
              <w:left w:val="nil"/>
              <w:bottom w:val="single" w:sz="4" w:space="0" w:color="auto"/>
              <w:right w:val="single" w:sz="4" w:space="0" w:color="auto"/>
            </w:tcBorders>
            <w:shd w:val="clear" w:color="auto" w:fill="FAE2D5"/>
            <w:vAlign w:val="center"/>
            <w:hideMark/>
          </w:tcPr>
          <w:p w14:paraId="20749345"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0</w:t>
            </w:r>
          </w:p>
        </w:tc>
      </w:tr>
      <w:tr w:rsidR="00633DB8" w:rsidRPr="00633DB8" w14:paraId="591481E0" w14:textId="77777777" w:rsidTr="00E70666">
        <w:trPr>
          <w:trHeight w:val="2368"/>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1A8B8AD2"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10</w:t>
            </w:r>
          </w:p>
        </w:tc>
        <w:tc>
          <w:tcPr>
            <w:tcW w:w="765" w:type="pct"/>
            <w:tcBorders>
              <w:top w:val="nil"/>
              <w:left w:val="nil"/>
              <w:bottom w:val="single" w:sz="4" w:space="0" w:color="auto"/>
              <w:right w:val="single" w:sz="4" w:space="0" w:color="auto"/>
            </w:tcBorders>
            <w:shd w:val="clear" w:color="auto" w:fill="D9F2D0"/>
            <w:vAlign w:val="center"/>
            <w:hideMark/>
          </w:tcPr>
          <w:p w14:paraId="76595FE5"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Charita Prostějov</w:t>
            </w:r>
          </w:p>
        </w:tc>
        <w:tc>
          <w:tcPr>
            <w:tcW w:w="598" w:type="pct"/>
            <w:tcBorders>
              <w:top w:val="nil"/>
              <w:left w:val="nil"/>
              <w:bottom w:val="single" w:sz="4" w:space="0" w:color="auto"/>
              <w:right w:val="single" w:sz="4" w:space="0" w:color="auto"/>
            </w:tcBorders>
            <w:shd w:val="clear" w:color="auto" w:fill="D9F2D0"/>
            <w:vAlign w:val="center"/>
            <w:hideMark/>
          </w:tcPr>
          <w:p w14:paraId="5DC0CA94"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krizová pomoc (§ 60)</w:t>
            </w:r>
          </w:p>
        </w:tc>
        <w:tc>
          <w:tcPr>
            <w:tcW w:w="633" w:type="pct"/>
            <w:tcBorders>
              <w:top w:val="nil"/>
              <w:left w:val="nil"/>
              <w:bottom w:val="single" w:sz="4" w:space="0" w:color="auto"/>
              <w:right w:val="single" w:sz="4" w:space="0" w:color="auto"/>
            </w:tcBorders>
            <w:shd w:val="clear" w:color="auto" w:fill="D9F2D0"/>
            <w:vAlign w:val="center"/>
            <w:hideMark/>
          </w:tcPr>
          <w:p w14:paraId="4828694E"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pobytová, ambulantní, terénní</w:t>
            </w:r>
          </w:p>
        </w:tc>
        <w:tc>
          <w:tcPr>
            <w:tcW w:w="2232" w:type="pct"/>
            <w:tcBorders>
              <w:top w:val="nil"/>
              <w:left w:val="nil"/>
              <w:bottom w:val="single" w:sz="4" w:space="0" w:color="auto"/>
              <w:right w:val="single" w:sz="4" w:space="0" w:color="auto"/>
            </w:tcBorders>
            <w:shd w:val="clear" w:color="auto" w:fill="D9F2D0"/>
            <w:vAlign w:val="center"/>
            <w:hideMark/>
          </w:tcPr>
          <w:p w14:paraId="515CB17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51 bodů; žadatel dosáhl potřebného počtu bodů; zřízení služby je v souladu se SPRSS 2024-2026; zřízení služby považuje za potřebné ORP Konice i ORP Prostějov; bez příslibu finanční podpory; OSV navrhuje zařadit podmíněně po dobu 2 let</w:t>
            </w:r>
          </w:p>
          <w:p w14:paraId="6C123F02" w14:textId="77777777" w:rsidR="00633DB8" w:rsidRPr="00633DB8" w:rsidRDefault="00633DB8" w:rsidP="00633DB8">
            <w:pPr>
              <w:spacing w:before="0" w:line="240" w:lineRule="auto"/>
              <w:rPr>
                <w:rFonts w:ascii="Calibri" w:eastAsia="Times New Roman" w:hAnsi="Calibri" w:cs="Calibri"/>
                <w:b/>
                <w:bCs/>
                <w:sz w:val="20"/>
                <w:szCs w:val="20"/>
              </w:rPr>
            </w:pPr>
          </w:p>
          <w:p w14:paraId="130822D2"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podmíněnému zařazení po dobu 2 let</w:t>
            </w:r>
          </w:p>
        </w:tc>
        <w:tc>
          <w:tcPr>
            <w:tcW w:w="584" w:type="pct"/>
            <w:tcBorders>
              <w:top w:val="nil"/>
              <w:left w:val="nil"/>
              <w:bottom w:val="single" w:sz="4" w:space="0" w:color="auto"/>
              <w:right w:val="single" w:sz="4" w:space="0" w:color="auto"/>
            </w:tcBorders>
            <w:shd w:val="clear" w:color="auto" w:fill="D9F2D0"/>
            <w:vAlign w:val="center"/>
            <w:hideMark/>
          </w:tcPr>
          <w:p w14:paraId="3A2C85C4"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5</w:t>
            </w:r>
          </w:p>
        </w:tc>
      </w:tr>
      <w:tr w:rsidR="00633DB8" w:rsidRPr="00633DB8" w14:paraId="46D183E6" w14:textId="77777777" w:rsidTr="00633DB8">
        <w:trPr>
          <w:trHeight w:val="2580"/>
        </w:trPr>
        <w:tc>
          <w:tcPr>
            <w:tcW w:w="189" w:type="pct"/>
            <w:tcBorders>
              <w:top w:val="nil"/>
              <w:left w:val="single" w:sz="4" w:space="0" w:color="auto"/>
              <w:bottom w:val="single" w:sz="4" w:space="0" w:color="auto"/>
              <w:right w:val="single" w:sz="4" w:space="0" w:color="auto"/>
            </w:tcBorders>
            <w:shd w:val="clear" w:color="auto" w:fill="FAE2D5"/>
            <w:vAlign w:val="center"/>
            <w:hideMark/>
          </w:tcPr>
          <w:p w14:paraId="02C747C5"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11</w:t>
            </w:r>
          </w:p>
        </w:tc>
        <w:tc>
          <w:tcPr>
            <w:tcW w:w="765" w:type="pct"/>
            <w:tcBorders>
              <w:top w:val="nil"/>
              <w:left w:val="nil"/>
              <w:bottom w:val="single" w:sz="4" w:space="0" w:color="auto"/>
              <w:right w:val="single" w:sz="4" w:space="0" w:color="auto"/>
            </w:tcBorders>
            <w:shd w:val="clear" w:color="auto" w:fill="FAE2D5"/>
            <w:vAlign w:val="center"/>
            <w:hideMark/>
          </w:tcPr>
          <w:p w14:paraId="3218F86E"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Charita Přerov</w:t>
            </w:r>
          </w:p>
        </w:tc>
        <w:tc>
          <w:tcPr>
            <w:tcW w:w="598" w:type="pct"/>
            <w:tcBorders>
              <w:top w:val="nil"/>
              <w:left w:val="nil"/>
              <w:bottom w:val="single" w:sz="4" w:space="0" w:color="auto"/>
              <w:right w:val="single" w:sz="4" w:space="0" w:color="auto"/>
            </w:tcBorders>
            <w:shd w:val="clear" w:color="auto" w:fill="FAE2D5"/>
            <w:vAlign w:val="center"/>
            <w:hideMark/>
          </w:tcPr>
          <w:p w14:paraId="02FF5FB8"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sociálně aktivizační služby pro seniory a osoby se zdravotním postižením (§ 66)</w:t>
            </w:r>
          </w:p>
        </w:tc>
        <w:tc>
          <w:tcPr>
            <w:tcW w:w="633" w:type="pct"/>
            <w:tcBorders>
              <w:top w:val="nil"/>
              <w:left w:val="nil"/>
              <w:bottom w:val="single" w:sz="4" w:space="0" w:color="auto"/>
              <w:right w:val="single" w:sz="4" w:space="0" w:color="auto"/>
            </w:tcBorders>
            <w:shd w:val="clear" w:color="auto" w:fill="FAE2D5"/>
            <w:vAlign w:val="center"/>
            <w:hideMark/>
          </w:tcPr>
          <w:p w14:paraId="1A07D277"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ambulantní</w:t>
            </w:r>
          </w:p>
        </w:tc>
        <w:tc>
          <w:tcPr>
            <w:tcW w:w="2232" w:type="pct"/>
            <w:tcBorders>
              <w:top w:val="nil"/>
              <w:left w:val="nil"/>
              <w:bottom w:val="single" w:sz="4" w:space="0" w:color="auto"/>
              <w:right w:val="single" w:sz="4" w:space="0" w:color="auto"/>
            </w:tcBorders>
            <w:shd w:val="clear" w:color="auto" w:fill="FAE2D5"/>
            <w:vAlign w:val="center"/>
            <w:hideMark/>
          </w:tcPr>
          <w:p w14:paraId="3921D0B0" w14:textId="0B8DDA0C"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 xml:space="preserve">49 bodů; žadatel dosáhl potřebného počtu bodů; nesplněn parametr kvality; zřízení služby není v souladu se SPRSS 2024-2026; ORP Přerov považuje službu za potřebnou a vyjadřuje příslib finanční </w:t>
            </w:r>
            <w:r w:rsidR="0002458B" w:rsidRPr="00633DB8">
              <w:rPr>
                <w:rFonts w:ascii="Calibri" w:eastAsia="Times New Roman" w:hAnsi="Calibri" w:cs="Calibri"/>
                <w:sz w:val="20"/>
                <w:szCs w:val="20"/>
              </w:rPr>
              <w:t>podpory</w:t>
            </w:r>
            <w:r w:rsidRPr="00633DB8">
              <w:rPr>
                <w:rFonts w:ascii="Calibri" w:eastAsia="Times New Roman" w:hAnsi="Calibri" w:cs="Calibri"/>
                <w:sz w:val="20"/>
                <w:szCs w:val="20"/>
              </w:rPr>
              <w:t>; postup pro jednání se zájemcem o sociální službu a postup IP a jeho vyhodnocování není v souladu se ZSS, nezjišťuje se nepříznivá sociální situace</w:t>
            </w:r>
          </w:p>
          <w:p w14:paraId="614FB5EB" w14:textId="77777777" w:rsidR="00633DB8" w:rsidRPr="00633DB8" w:rsidRDefault="00633DB8" w:rsidP="00633DB8">
            <w:pPr>
              <w:spacing w:before="0" w:line="240" w:lineRule="auto"/>
              <w:rPr>
                <w:rFonts w:ascii="Calibri" w:eastAsia="Times New Roman" w:hAnsi="Calibri" w:cs="Calibri"/>
                <w:b/>
                <w:bCs/>
                <w:sz w:val="20"/>
                <w:szCs w:val="20"/>
              </w:rPr>
            </w:pPr>
          </w:p>
          <w:p w14:paraId="4A02EB3C" w14:textId="77777777" w:rsidR="00633DB8" w:rsidRPr="00633DB8" w:rsidRDefault="00633DB8" w:rsidP="00633DB8">
            <w:pPr>
              <w:spacing w:before="0" w:line="240" w:lineRule="auto"/>
              <w:rPr>
                <w:rFonts w:ascii="Calibri" w:eastAsia="Times New Roman" w:hAnsi="Calibri" w:cs="Calibri"/>
                <w:b/>
                <w:bCs/>
                <w:sz w:val="20"/>
                <w:szCs w:val="20"/>
              </w:rPr>
            </w:pPr>
          </w:p>
          <w:p w14:paraId="6D074817"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nedoporučeno k zařazení do sítě</w:t>
            </w:r>
          </w:p>
          <w:p w14:paraId="4B659EC1" w14:textId="77777777" w:rsidR="00633DB8" w:rsidRPr="00633DB8" w:rsidRDefault="00633DB8" w:rsidP="00633DB8">
            <w:pPr>
              <w:spacing w:before="0" w:line="240" w:lineRule="auto"/>
              <w:rPr>
                <w:rFonts w:ascii="Calibri" w:eastAsia="Times New Roman" w:hAnsi="Calibri" w:cs="Calibri"/>
                <w:b/>
                <w:bCs/>
                <w:sz w:val="20"/>
                <w:szCs w:val="20"/>
              </w:rPr>
            </w:pPr>
          </w:p>
        </w:tc>
        <w:tc>
          <w:tcPr>
            <w:tcW w:w="584" w:type="pct"/>
            <w:tcBorders>
              <w:top w:val="nil"/>
              <w:left w:val="nil"/>
              <w:bottom w:val="single" w:sz="4" w:space="0" w:color="auto"/>
              <w:right w:val="single" w:sz="4" w:space="0" w:color="auto"/>
            </w:tcBorders>
            <w:shd w:val="clear" w:color="auto" w:fill="FAE2D5"/>
            <w:vAlign w:val="center"/>
            <w:hideMark/>
          </w:tcPr>
          <w:p w14:paraId="14882A75"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0</w:t>
            </w:r>
          </w:p>
        </w:tc>
      </w:tr>
      <w:tr w:rsidR="00633DB8" w:rsidRPr="00633DB8" w14:paraId="5FC35B84" w14:textId="77777777" w:rsidTr="00633DB8">
        <w:trPr>
          <w:trHeight w:val="3075"/>
        </w:trPr>
        <w:tc>
          <w:tcPr>
            <w:tcW w:w="189" w:type="pct"/>
            <w:tcBorders>
              <w:top w:val="nil"/>
              <w:left w:val="single" w:sz="4" w:space="0" w:color="auto"/>
              <w:bottom w:val="single" w:sz="4" w:space="0" w:color="auto"/>
              <w:right w:val="single" w:sz="4" w:space="0" w:color="auto"/>
            </w:tcBorders>
            <w:shd w:val="clear" w:color="auto" w:fill="FAE2D5"/>
            <w:vAlign w:val="center"/>
            <w:hideMark/>
          </w:tcPr>
          <w:p w14:paraId="6EBDEDA3"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lastRenderedPageBreak/>
              <w:t>12</w:t>
            </w:r>
          </w:p>
        </w:tc>
        <w:tc>
          <w:tcPr>
            <w:tcW w:w="765" w:type="pct"/>
            <w:tcBorders>
              <w:top w:val="nil"/>
              <w:left w:val="nil"/>
              <w:bottom w:val="single" w:sz="4" w:space="0" w:color="auto"/>
              <w:right w:val="single" w:sz="4" w:space="0" w:color="auto"/>
            </w:tcBorders>
            <w:shd w:val="clear" w:color="auto" w:fill="FAE2D5"/>
            <w:vAlign w:val="center"/>
            <w:hideMark/>
          </w:tcPr>
          <w:p w14:paraId="07527350"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Nemocnice Šumperk a.s.</w:t>
            </w:r>
          </w:p>
        </w:tc>
        <w:tc>
          <w:tcPr>
            <w:tcW w:w="598" w:type="pct"/>
            <w:tcBorders>
              <w:top w:val="nil"/>
              <w:left w:val="nil"/>
              <w:bottom w:val="single" w:sz="4" w:space="0" w:color="auto"/>
              <w:right w:val="single" w:sz="4" w:space="0" w:color="auto"/>
            </w:tcBorders>
            <w:shd w:val="clear" w:color="auto" w:fill="FAE2D5"/>
            <w:vAlign w:val="center"/>
            <w:hideMark/>
          </w:tcPr>
          <w:p w14:paraId="011E8986"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sociální služby poskytované ve zdravotnických zařízeních lůžkové péče (§ 52)</w:t>
            </w:r>
          </w:p>
        </w:tc>
        <w:tc>
          <w:tcPr>
            <w:tcW w:w="633" w:type="pct"/>
            <w:tcBorders>
              <w:top w:val="nil"/>
              <w:left w:val="nil"/>
              <w:bottom w:val="single" w:sz="4" w:space="0" w:color="auto"/>
              <w:right w:val="single" w:sz="4" w:space="0" w:color="auto"/>
            </w:tcBorders>
            <w:shd w:val="clear" w:color="auto" w:fill="FAE2D5"/>
            <w:vAlign w:val="center"/>
            <w:hideMark/>
          </w:tcPr>
          <w:p w14:paraId="0B8E9BC5"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pobytová</w:t>
            </w:r>
          </w:p>
        </w:tc>
        <w:tc>
          <w:tcPr>
            <w:tcW w:w="2232" w:type="pct"/>
            <w:tcBorders>
              <w:top w:val="nil"/>
              <w:left w:val="nil"/>
              <w:bottom w:val="single" w:sz="4" w:space="0" w:color="auto"/>
              <w:right w:val="single" w:sz="4" w:space="0" w:color="auto"/>
            </w:tcBorders>
            <w:shd w:val="clear" w:color="auto" w:fill="FAE2D5"/>
            <w:vAlign w:val="center"/>
            <w:hideMark/>
          </w:tcPr>
          <w:p w14:paraId="78FA8FFC"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48 bodů; žadatel dosáhl potřebného počtu bodů; zřízení služby není v souladu se SPRSS 2024-2026; zřízení služby považují za potřebné ORP Mohelnice, Šumperk i Zábřeh; bez příslibu finanční podpory; Interna Zábřeh nemá plně využitou kapacitu; v souladu se zákonem č. 38/2025 Sb., ve znění pozdějších předpisů se plánuje zrušení druhu (§ 52); služba má oprávnění k poskytování, ale od pandemie COVID-19 není poskytována</w:t>
            </w:r>
          </w:p>
          <w:p w14:paraId="3F729D76" w14:textId="77777777" w:rsidR="00633DB8" w:rsidRPr="00633DB8" w:rsidRDefault="00633DB8" w:rsidP="00633DB8">
            <w:pPr>
              <w:spacing w:before="0" w:line="240" w:lineRule="auto"/>
              <w:rPr>
                <w:rFonts w:ascii="Calibri" w:eastAsia="Times New Roman" w:hAnsi="Calibri" w:cs="Calibri"/>
                <w:b/>
                <w:bCs/>
                <w:sz w:val="20"/>
                <w:szCs w:val="20"/>
              </w:rPr>
            </w:pPr>
          </w:p>
          <w:p w14:paraId="2B0F911C" w14:textId="77777777" w:rsidR="00633DB8" w:rsidRPr="00633DB8" w:rsidRDefault="00633DB8" w:rsidP="00633DB8">
            <w:pPr>
              <w:spacing w:before="0" w:line="240" w:lineRule="auto"/>
              <w:rPr>
                <w:rFonts w:ascii="Calibri" w:eastAsia="Times New Roman" w:hAnsi="Calibri" w:cs="Calibri"/>
                <w:b/>
                <w:bCs/>
                <w:sz w:val="20"/>
                <w:szCs w:val="20"/>
              </w:rPr>
            </w:pPr>
          </w:p>
          <w:p w14:paraId="0F3E9F77"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nedoporučeno k zařazení do sítě</w:t>
            </w:r>
          </w:p>
          <w:p w14:paraId="707845DC" w14:textId="77777777" w:rsidR="00633DB8" w:rsidRPr="00633DB8" w:rsidRDefault="00633DB8" w:rsidP="00633DB8">
            <w:pPr>
              <w:spacing w:before="0" w:line="240" w:lineRule="auto"/>
              <w:rPr>
                <w:rFonts w:ascii="Calibri" w:eastAsia="Times New Roman" w:hAnsi="Calibri" w:cs="Calibri"/>
                <w:b/>
                <w:bCs/>
                <w:sz w:val="20"/>
                <w:szCs w:val="20"/>
              </w:rPr>
            </w:pPr>
          </w:p>
        </w:tc>
        <w:tc>
          <w:tcPr>
            <w:tcW w:w="584" w:type="pct"/>
            <w:tcBorders>
              <w:top w:val="nil"/>
              <w:left w:val="nil"/>
              <w:bottom w:val="single" w:sz="4" w:space="0" w:color="auto"/>
              <w:right w:val="single" w:sz="4" w:space="0" w:color="auto"/>
            </w:tcBorders>
            <w:shd w:val="clear" w:color="auto" w:fill="FAE2D5"/>
            <w:vAlign w:val="center"/>
            <w:hideMark/>
          </w:tcPr>
          <w:p w14:paraId="511CFA83"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0</w:t>
            </w:r>
          </w:p>
        </w:tc>
      </w:tr>
      <w:tr w:rsidR="00633DB8" w:rsidRPr="00633DB8" w14:paraId="26B6FCFD" w14:textId="77777777" w:rsidTr="00633DB8">
        <w:trPr>
          <w:trHeight w:val="1950"/>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649AAE51"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13</w:t>
            </w:r>
          </w:p>
        </w:tc>
        <w:tc>
          <w:tcPr>
            <w:tcW w:w="765" w:type="pct"/>
            <w:tcBorders>
              <w:top w:val="nil"/>
              <w:left w:val="nil"/>
              <w:bottom w:val="single" w:sz="4" w:space="0" w:color="auto"/>
              <w:right w:val="single" w:sz="4" w:space="0" w:color="auto"/>
            </w:tcBorders>
            <w:shd w:val="clear" w:color="auto" w:fill="D9F2D0"/>
            <w:vAlign w:val="center"/>
            <w:hideMark/>
          </w:tcPr>
          <w:p w14:paraId="1D1E51B0" w14:textId="77777777" w:rsidR="00633DB8" w:rsidRPr="00633DB8" w:rsidRDefault="00633DB8" w:rsidP="00633DB8">
            <w:pPr>
              <w:spacing w:before="0" w:line="240" w:lineRule="auto"/>
              <w:rPr>
                <w:rFonts w:ascii="Calibri" w:eastAsia="Times New Roman" w:hAnsi="Calibri" w:cs="Calibri"/>
                <w:sz w:val="20"/>
                <w:szCs w:val="20"/>
              </w:rPr>
            </w:pPr>
            <w:proofErr w:type="spellStart"/>
            <w:r w:rsidRPr="00633DB8">
              <w:rPr>
                <w:rFonts w:ascii="Calibri" w:eastAsia="Times New Roman" w:hAnsi="Calibri" w:cs="Calibri"/>
                <w:sz w:val="20"/>
                <w:szCs w:val="20"/>
              </w:rPr>
              <w:t>Sipora</w:t>
            </w:r>
            <w:proofErr w:type="spellEnd"/>
            <w:r w:rsidRPr="00633DB8">
              <w:rPr>
                <w:rFonts w:ascii="Calibri" w:eastAsia="Times New Roman" w:hAnsi="Calibri" w:cs="Calibri"/>
                <w:sz w:val="20"/>
                <w:szCs w:val="20"/>
              </w:rPr>
              <w:t xml:space="preserve">, </w:t>
            </w:r>
            <w:proofErr w:type="spellStart"/>
            <w:r w:rsidRPr="00633DB8">
              <w:rPr>
                <w:rFonts w:ascii="Calibri" w:eastAsia="Times New Roman" w:hAnsi="Calibri" w:cs="Calibri"/>
                <w:sz w:val="20"/>
                <w:szCs w:val="20"/>
              </w:rPr>
              <w:t>z.ú</w:t>
            </w:r>
            <w:proofErr w:type="spellEnd"/>
            <w:r w:rsidRPr="00633DB8">
              <w:rPr>
                <w:rFonts w:ascii="Calibri" w:eastAsia="Times New Roman" w:hAnsi="Calibri" w:cs="Calibri"/>
                <w:sz w:val="20"/>
                <w:szCs w:val="20"/>
              </w:rPr>
              <w:t>.</w:t>
            </w:r>
          </w:p>
        </w:tc>
        <w:tc>
          <w:tcPr>
            <w:tcW w:w="598" w:type="pct"/>
            <w:tcBorders>
              <w:top w:val="nil"/>
              <w:left w:val="nil"/>
              <w:bottom w:val="single" w:sz="4" w:space="0" w:color="auto"/>
              <w:right w:val="single" w:sz="4" w:space="0" w:color="auto"/>
            </w:tcBorders>
            <w:shd w:val="clear" w:color="auto" w:fill="D9F2D0"/>
            <w:vAlign w:val="center"/>
            <w:hideMark/>
          </w:tcPr>
          <w:p w14:paraId="2F3094D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domovy pro osoby se zdravotním postižením (§ 48)</w:t>
            </w:r>
          </w:p>
        </w:tc>
        <w:tc>
          <w:tcPr>
            <w:tcW w:w="633" w:type="pct"/>
            <w:tcBorders>
              <w:top w:val="nil"/>
              <w:left w:val="nil"/>
              <w:bottom w:val="single" w:sz="4" w:space="0" w:color="auto"/>
              <w:right w:val="single" w:sz="4" w:space="0" w:color="auto"/>
            </w:tcBorders>
            <w:shd w:val="clear" w:color="auto" w:fill="D9F2D0"/>
            <w:vAlign w:val="center"/>
            <w:hideMark/>
          </w:tcPr>
          <w:p w14:paraId="75CBF0D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pobytová</w:t>
            </w:r>
          </w:p>
        </w:tc>
        <w:tc>
          <w:tcPr>
            <w:tcW w:w="2232" w:type="pct"/>
            <w:tcBorders>
              <w:top w:val="nil"/>
              <w:left w:val="nil"/>
              <w:bottom w:val="single" w:sz="4" w:space="0" w:color="auto"/>
              <w:right w:val="single" w:sz="4" w:space="0" w:color="auto"/>
            </w:tcBorders>
            <w:shd w:val="clear" w:color="auto" w:fill="D9F2D0"/>
            <w:vAlign w:val="center"/>
            <w:hideMark/>
          </w:tcPr>
          <w:p w14:paraId="2BE48E41"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66 bodů; žadatel dosáhl potřebného počtu bodů; zřízení služby je v souladu se SPRSS 2024-2026; ORP Jeseník považuje zřízení služby za potřebné a vyjadřuje příslib finanční podpory</w:t>
            </w:r>
          </w:p>
          <w:p w14:paraId="7A32152C" w14:textId="77777777" w:rsidR="00633DB8" w:rsidRPr="00633DB8" w:rsidRDefault="00633DB8" w:rsidP="00633DB8">
            <w:pPr>
              <w:spacing w:before="0" w:line="240" w:lineRule="auto"/>
              <w:rPr>
                <w:rFonts w:ascii="Calibri" w:eastAsia="Times New Roman" w:hAnsi="Calibri" w:cs="Calibri"/>
                <w:b/>
                <w:bCs/>
                <w:sz w:val="20"/>
                <w:szCs w:val="20"/>
              </w:rPr>
            </w:pPr>
          </w:p>
          <w:p w14:paraId="6E6336B6"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zařazení do sítě</w:t>
            </w:r>
          </w:p>
        </w:tc>
        <w:tc>
          <w:tcPr>
            <w:tcW w:w="584" w:type="pct"/>
            <w:tcBorders>
              <w:top w:val="nil"/>
              <w:left w:val="nil"/>
              <w:bottom w:val="single" w:sz="4" w:space="0" w:color="auto"/>
              <w:right w:val="single" w:sz="4" w:space="0" w:color="auto"/>
            </w:tcBorders>
            <w:shd w:val="clear" w:color="auto" w:fill="D9F2D0"/>
            <w:vAlign w:val="center"/>
            <w:hideMark/>
          </w:tcPr>
          <w:p w14:paraId="6F36DC86"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3</w:t>
            </w:r>
          </w:p>
        </w:tc>
      </w:tr>
      <w:tr w:rsidR="00633DB8" w:rsidRPr="00633DB8" w14:paraId="12F02FFA" w14:textId="77777777" w:rsidTr="00633DB8">
        <w:trPr>
          <w:trHeight w:val="2414"/>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55143693"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14</w:t>
            </w:r>
          </w:p>
        </w:tc>
        <w:tc>
          <w:tcPr>
            <w:tcW w:w="765" w:type="pct"/>
            <w:tcBorders>
              <w:top w:val="nil"/>
              <w:left w:val="nil"/>
              <w:bottom w:val="single" w:sz="4" w:space="0" w:color="auto"/>
              <w:right w:val="single" w:sz="4" w:space="0" w:color="auto"/>
            </w:tcBorders>
            <w:shd w:val="clear" w:color="auto" w:fill="D9F2D0"/>
            <w:vAlign w:val="center"/>
            <w:hideMark/>
          </w:tcPr>
          <w:p w14:paraId="037E75E1"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Společnost Podané ruce o.p.s.</w:t>
            </w:r>
          </w:p>
        </w:tc>
        <w:tc>
          <w:tcPr>
            <w:tcW w:w="598" w:type="pct"/>
            <w:tcBorders>
              <w:top w:val="nil"/>
              <w:left w:val="nil"/>
              <w:bottom w:val="single" w:sz="4" w:space="0" w:color="auto"/>
              <w:right w:val="single" w:sz="4" w:space="0" w:color="auto"/>
            </w:tcBorders>
            <w:shd w:val="clear" w:color="auto" w:fill="D9F2D0"/>
            <w:vAlign w:val="center"/>
            <w:hideMark/>
          </w:tcPr>
          <w:p w14:paraId="257CEF5D"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nízkoprahová zařízení pro děti a mládež (§ 62)</w:t>
            </w:r>
          </w:p>
        </w:tc>
        <w:tc>
          <w:tcPr>
            <w:tcW w:w="633" w:type="pct"/>
            <w:tcBorders>
              <w:top w:val="nil"/>
              <w:left w:val="nil"/>
              <w:bottom w:val="single" w:sz="4" w:space="0" w:color="auto"/>
              <w:right w:val="single" w:sz="4" w:space="0" w:color="auto"/>
            </w:tcBorders>
            <w:shd w:val="clear" w:color="auto" w:fill="D9F2D0"/>
            <w:vAlign w:val="center"/>
            <w:hideMark/>
          </w:tcPr>
          <w:p w14:paraId="44F78638"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ambulantní, terénní</w:t>
            </w:r>
          </w:p>
        </w:tc>
        <w:tc>
          <w:tcPr>
            <w:tcW w:w="2232" w:type="pct"/>
            <w:tcBorders>
              <w:top w:val="nil"/>
              <w:left w:val="nil"/>
              <w:bottom w:val="single" w:sz="4" w:space="0" w:color="auto"/>
              <w:right w:val="single" w:sz="4" w:space="0" w:color="auto"/>
            </w:tcBorders>
            <w:shd w:val="clear" w:color="auto" w:fill="D9F2D0"/>
            <w:vAlign w:val="center"/>
            <w:hideMark/>
          </w:tcPr>
          <w:p w14:paraId="66E4FE77"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70 bodů; žadatel dosáhl potřebného počtu bodů; zřízení služby je v souladu se SPRSS 2024-2026; ORP Litovel, Šternberk i Uničov považují zřízení služby za potřebné a vyjadřují finanční podporu</w:t>
            </w:r>
          </w:p>
          <w:p w14:paraId="7A02F930" w14:textId="77777777" w:rsidR="00633DB8" w:rsidRPr="00633DB8" w:rsidRDefault="00633DB8" w:rsidP="00633DB8">
            <w:pPr>
              <w:spacing w:before="0" w:line="240" w:lineRule="auto"/>
              <w:rPr>
                <w:rFonts w:ascii="Calibri" w:eastAsia="Times New Roman" w:hAnsi="Calibri" w:cs="Calibri"/>
                <w:b/>
                <w:bCs/>
                <w:sz w:val="20"/>
                <w:szCs w:val="20"/>
              </w:rPr>
            </w:pPr>
          </w:p>
          <w:p w14:paraId="5F1E9E19"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zařazení do sítě</w:t>
            </w:r>
          </w:p>
        </w:tc>
        <w:tc>
          <w:tcPr>
            <w:tcW w:w="584" w:type="pct"/>
            <w:tcBorders>
              <w:top w:val="nil"/>
              <w:left w:val="nil"/>
              <w:bottom w:val="single" w:sz="4" w:space="0" w:color="auto"/>
              <w:right w:val="single" w:sz="4" w:space="0" w:color="auto"/>
            </w:tcBorders>
            <w:shd w:val="clear" w:color="auto" w:fill="D9F2D0"/>
            <w:vAlign w:val="center"/>
            <w:hideMark/>
          </w:tcPr>
          <w:p w14:paraId="34A40212"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5</w:t>
            </w:r>
          </w:p>
        </w:tc>
      </w:tr>
      <w:tr w:rsidR="00633DB8" w:rsidRPr="00633DB8" w14:paraId="1D6D77E5" w14:textId="77777777" w:rsidTr="00633DB8">
        <w:trPr>
          <w:trHeight w:val="2280"/>
        </w:trPr>
        <w:tc>
          <w:tcPr>
            <w:tcW w:w="189" w:type="pct"/>
            <w:tcBorders>
              <w:top w:val="nil"/>
              <w:left w:val="single" w:sz="4" w:space="0" w:color="auto"/>
              <w:bottom w:val="single" w:sz="4" w:space="0" w:color="auto"/>
              <w:right w:val="single" w:sz="4" w:space="0" w:color="auto"/>
            </w:tcBorders>
            <w:shd w:val="clear" w:color="auto" w:fill="D9F2D0"/>
            <w:vAlign w:val="center"/>
            <w:hideMark/>
          </w:tcPr>
          <w:p w14:paraId="236D4F95"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15</w:t>
            </w:r>
          </w:p>
        </w:tc>
        <w:tc>
          <w:tcPr>
            <w:tcW w:w="765" w:type="pct"/>
            <w:tcBorders>
              <w:top w:val="nil"/>
              <w:left w:val="nil"/>
              <w:bottom w:val="single" w:sz="4" w:space="0" w:color="auto"/>
              <w:right w:val="single" w:sz="4" w:space="0" w:color="auto"/>
            </w:tcBorders>
            <w:shd w:val="clear" w:color="auto" w:fill="D9F2D0"/>
            <w:vAlign w:val="center"/>
            <w:hideMark/>
          </w:tcPr>
          <w:p w14:paraId="3392BEBA"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Zet-My, z.s.</w:t>
            </w:r>
          </w:p>
        </w:tc>
        <w:tc>
          <w:tcPr>
            <w:tcW w:w="598" w:type="pct"/>
            <w:tcBorders>
              <w:top w:val="nil"/>
              <w:left w:val="nil"/>
              <w:bottom w:val="single" w:sz="4" w:space="0" w:color="auto"/>
              <w:right w:val="single" w:sz="4" w:space="0" w:color="auto"/>
            </w:tcBorders>
            <w:shd w:val="clear" w:color="auto" w:fill="D9F2D0"/>
            <w:vAlign w:val="center"/>
            <w:hideMark/>
          </w:tcPr>
          <w:p w14:paraId="1FABB6DF"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denní stacionáře (§ 46)</w:t>
            </w:r>
          </w:p>
        </w:tc>
        <w:tc>
          <w:tcPr>
            <w:tcW w:w="633" w:type="pct"/>
            <w:tcBorders>
              <w:top w:val="nil"/>
              <w:left w:val="nil"/>
              <w:bottom w:val="single" w:sz="4" w:space="0" w:color="auto"/>
              <w:right w:val="single" w:sz="4" w:space="0" w:color="auto"/>
            </w:tcBorders>
            <w:shd w:val="clear" w:color="auto" w:fill="D9F2D0"/>
            <w:vAlign w:val="center"/>
            <w:hideMark/>
          </w:tcPr>
          <w:p w14:paraId="19933F90"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ambulantní</w:t>
            </w:r>
          </w:p>
        </w:tc>
        <w:tc>
          <w:tcPr>
            <w:tcW w:w="2232" w:type="pct"/>
            <w:tcBorders>
              <w:top w:val="nil"/>
              <w:left w:val="nil"/>
              <w:bottom w:val="single" w:sz="4" w:space="0" w:color="auto"/>
              <w:right w:val="single" w:sz="4" w:space="0" w:color="auto"/>
            </w:tcBorders>
            <w:shd w:val="clear" w:color="auto" w:fill="D9F2D0"/>
            <w:vAlign w:val="center"/>
            <w:hideMark/>
          </w:tcPr>
          <w:p w14:paraId="40FA33C8" w14:textId="77777777" w:rsidR="00633DB8" w:rsidRPr="00633DB8" w:rsidRDefault="00633DB8" w:rsidP="00633DB8">
            <w:pPr>
              <w:spacing w:before="0" w:line="240" w:lineRule="auto"/>
              <w:rPr>
                <w:rFonts w:ascii="Calibri" w:eastAsia="Times New Roman" w:hAnsi="Calibri" w:cs="Calibri"/>
                <w:sz w:val="20"/>
                <w:szCs w:val="20"/>
              </w:rPr>
            </w:pPr>
            <w:r w:rsidRPr="00633DB8">
              <w:rPr>
                <w:rFonts w:ascii="Calibri" w:eastAsia="Times New Roman" w:hAnsi="Calibri" w:cs="Calibri"/>
                <w:sz w:val="20"/>
                <w:szCs w:val="20"/>
              </w:rPr>
              <w:t>50 bodů; žadatel dosáhl potřebného počtu bodů; zřízení služby není v souladu se SPRSS 2024-2026; ORP Olomouc považuje zřízení služby za potřebné a vyjadřuje příslib finanční podpory</w:t>
            </w:r>
          </w:p>
          <w:p w14:paraId="59A14989" w14:textId="77777777" w:rsidR="00633DB8" w:rsidRPr="00633DB8" w:rsidRDefault="00633DB8" w:rsidP="00633DB8">
            <w:pPr>
              <w:spacing w:before="0" w:line="240" w:lineRule="auto"/>
              <w:rPr>
                <w:rFonts w:ascii="Calibri" w:eastAsia="Times New Roman" w:hAnsi="Calibri" w:cs="Calibri"/>
                <w:b/>
                <w:bCs/>
                <w:sz w:val="20"/>
                <w:szCs w:val="20"/>
              </w:rPr>
            </w:pPr>
          </w:p>
          <w:p w14:paraId="1B8EEA5C" w14:textId="77777777" w:rsidR="00633DB8" w:rsidRPr="00633DB8" w:rsidRDefault="00633DB8" w:rsidP="00633DB8">
            <w:pPr>
              <w:spacing w:before="0" w:line="240" w:lineRule="auto"/>
              <w:rPr>
                <w:rFonts w:ascii="Calibri" w:eastAsia="Times New Roman" w:hAnsi="Calibri" w:cs="Calibri"/>
                <w:b/>
                <w:bCs/>
                <w:sz w:val="20"/>
                <w:szCs w:val="20"/>
              </w:rPr>
            </w:pPr>
            <w:r w:rsidRPr="00633DB8">
              <w:rPr>
                <w:rFonts w:ascii="Calibri" w:eastAsia="Times New Roman" w:hAnsi="Calibri" w:cs="Calibri"/>
                <w:b/>
                <w:bCs/>
                <w:sz w:val="20"/>
                <w:szCs w:val="20"/>
              </w:rPr>
              <w:t>doporučeno k zařazení do sítě</w:t>
            </w:r>
          </w:p>
        </w:tc>
        <w:tc>
          <w:tcPr>
            <w:tcW w:w="584" w:type="pct"/>
            <w:tcBorders>
              <w:top w:val="nil"/>
              <w:left w:val="nil"/>
              <w:bottom w:val="single" w:sz="4" w:space="0" w:color="auto"/>
              <w:right w:val="single" w:sz="4" w:space="0" w:color="auto"/>
            </w:tcBorders>
            <w:shd w:val="clear" w:color="auto" w:fill="D9F2D0"/>
            <w:vAlign w:val="center"/>
            <w:hideMark/>
          </w:tcPr>
          <w:p w14:paraId="54C179E0" w14:textId="77777777" w:rsidR="00633DB8" w:rsidRPr="00633DB8" w:rsidRDefault="00633DB8" w:rsidP="00633DB8">
            <w:pPr>
              <w:spacing w:before="0" w:line="240" w:lineRule="auto"/>
              <w:jc w:val="center"/>
              <w:rPr>
                <w:rFonts w:ascii="Calibri" w:eastAsia="Times New Roman" w:hAnsi="Calibri" w:cs="Calibri"/>
                <w:b/>
                <w:bCs/>
                <w:sz w:val="20"/>
                <w:szCs w:val="20"/>
              </w:rPr>
            </w:pPr>
            <w:r w:rsidRPr="00633DB8">
              <w:rPr>
                <w:rFonts w:ascii="Calibri" w:eastAsia="Times New Roman" w:hAnsi="Calibri" w:cs="Calibri"/>
                <w:b/>
                <w:bCs/>
                <w:sz w:val="20"/>
                <w:szCs w:val="20"/>
              </w:rPr>
              <w:t>2,7</w:t>
            </w:r>
          </w:p>
        </w:tc>
      </w:tr>
    </w:tbl>
    <w:p w14:paraId="3D4B5A83" w14:textId="77777777" w:rsidR="000F65A0" w:rsidRPr="00633DB8" w:rsidRDefault="000F65A0" w:rsidP="00633DB8"/>
    <w:p w14:paraId="0EDC3394" w14:textId="77777777" w:rsidR="00BB57F6" w:rsidRPr="00BB57F6" w:rsidRDefault="00BB57F6" w:rsidP="001A2B79">
      <w:pPr>
        <w:rPr>
          <w:b/>
          <w:noProof/>
        </w:rPr>
      </w:pPr>
      <w:r w:rsidRPr="00BB57F6">
        <w:rPr>
          <w:noProof/>
        </w:rPr>
        <w:t xml:space="preserve">Při zpracování doporučení na zařazení či nezařazení sociální služby do sítě bylo rovněž přihlédnuto ke kalkulaci předpokládaného dopadu nově zařazených sociálních služeb na financování sociálních služeb, které již v síti zařazeny jsou, a s tím související celková finanční udržitelnost sítě sociálních služeb Olomouckého kraje. Výše alokace účelové dotace závisí na alokaci finančních prostředků ve státním rozpočtu na tento účel na daný rozpočtový rok. </w:t>
      </w:r>
      <w:r w:rsidRPr="00BB57F6">
        <w:rPr>
          <w:noProof/>
          <w:u w:val="single"/>
        </w:rPr>
        <w:t>Není garantováno, že Olomoucký kraj obdrží dotaci ve výši, kterou požaduje.</w:t>
      </w:r>
      <w:r w:rsidRPr="00BB57F6">
        <w:rPr>
          <w:noProof/>
        </w:rPr>
        <w:t xml:space="preserve"> </w:t>
      </w:r>
      <w:r w:rsidRPr="00BB57F6">
        <w:rPr>
          <w:b/>
          <w:noProof/>
        </w:rPr>
        <w:t>Při tvorbě a modelaci sítě je tedy legitimní zvažovat její finanční udržitelnost a minimalizovat tak riziko dopadu na stávající síť služeb a jejich uživatele.</w:t>
      </w:r>
    </w:p>
    <w:p w14:paraId="6BDE5946" w14:textId="7E71965D" w:rsidR="00BB57F6" w:rsidRPr="00BB57F6" w:rsidRDefault="00BB57F6" w:rsidP="001A2B79">
      <w:pPr>
        <w:widowControl w:val="0"/>
        <w:spacing w:after="120"/>
        <w:outlineLvl w:val="0"/>
        <w:rPr>
          <w:color w:val="FF0000"/>
          <w:szCs w:val="24"/>
        </w:rPr>
      </w:pPr>
      <w:r w:rsidRPr="00BB57F6">
        <w:rPr>
          <w:szCs w:val="24"/>
        </w:rPr>
        <w:lastRenderedPageBreak/>
        <w:t>Síť sociálních služeb na rok 202</w:t>
      </w:r>
      <w:r w:rsidR="00D47AAF">
        <w:rPr>
          <w:szCs w:val="24"/>
        </w:rPr>
        <w:t>6</w:t>
      </w:r>
      <w:r w:rsidRPr="00BB57F6">
        <w:rPr>
          <w:szCs w:val="24"/>
        </w:rPr>
        <w:t>, jak je uvedena v tabulkové části Akčního plánu 202</w:t>
      </w:r>
      <w:r w:rsidR="00D47AAF">
        <w:rPr>
          <w:szCs w:val="24"/>
        </w:rPr>
        <w:t>6</w:t>
      </w:r>
      <w:r w:rsidRPr="00BB57F6">
        <w:rPr>
          <w:szCs w:val="24"/>
        </w:rPr>
        <w:t xml:space="preserve">, Příloha č. 1 – Síť sociálních služeb, bude </w:t>
      </w:r>
      <w:r w:rsidR="00BD3833">
        <w:rPr>
          <w:szCs w:val="24"/>
        </w:rPr>
        <w:t xml:space="preserve">ještě </w:t>
      </w:r>
      <w:r w:rsidRPr="00BB57F6">
        <w:rPr>
          <w:szCs w:val="24"/>
        </w:rPr>
        <w:t>aktualizována v části „jednotky“</w:t>
      </w:r>
      <w:r w:rsidRPr="00BB57F6">
        <w:t xml:space="preserve"> do konce roku předcházejícímu platnosti Akčního plánu</w:t>
      </w:r>
      <w:r w:rsidR="00BD3833">
        <w:t>, tj. do konce roku 2025</w:t>
      </w:r>
      <w:r w:rsidRPr="00BB57F6">
        <w:rPr>
          <w:szCs w:val="24"/>
        </w:rPr>
        <w:t>. Jednotky jsou rozhodné pro stanovení výše dotace dle kalkulace stanovené v Programu finanční podpory poskytování sociálních služeb v Olomouckém kraji u jednotlivých druhů sociálních služeb.</w:t>
      </w:r>
    </w:p>
    <w:p w14:paraId="4867C9EF" w14:textId="6605A8AC" w:rsidR="00BA43C4" w:rsidRDefault="00BB57F6" w:rsidP="001A2B79">
      <w:pPr>
        <w:widowControl w:val="0"/>
        <w:spacing w:after="120"/>
        <w:outlineLvl w:val="0"/>
        <w:rPr>
          <w:szCs w:val="24"/>
        </w:rPr>
      </w:pPr>
      <w:r w:rsidRPr="00385F46">
        <w:rPr>
          <w:szCs w:val="24"/>
        </w:rPr>
        <w:t>POSTUP umožňuje podávat</w:t>
      </w:r>
      <w:r w:rsidR="005A3F29" w:rsidRPr="00385F46">
        <w:rPr>
          <w:szCs w:val="24"/>
        </w:rPr>
        <w:t xml:space="preserve"> žádosti o aktualizaci</w:t>
      </w:r>
      <w:r w:rsidRPr="00385F46">
        <w:rPr>
          <w:szCs w:val="24"/>
        </w:rPr>
        <w:t xml:space="preserve"> </w:t>
      </w:r>
      <w:r w:rsidR="005A3F29" w:rsidRPr="00385F46">
        <w:rPr>
          <w:szCs w:val="24"/>
        </w:rPr>
        <w:t>jednotek u sociální služby zařazené v síti</w:t>
      </w:r>
      <w:r w:rsidRPr="00385F46">
        <w:rPr>
          <w:szCs w:val="24"/>
        </w:rPr>
        <w:t xml:space="preserve"> ve lhůtě od 1. 6. do 31. 7. 202</w:t>
      </w:r>
      <w:r w:rsidR="00D47AAF" w:rsidRPr="00385F46">
        <w:rPr>
          <w:szCs w:val="24"/>
        </w:rPr>
        <w:t>5</w:t>
      </w:r>
      <w:r w:rsidRPr="00385F46">
        <w:rPr>
          <w:szCs w:val="24"/>
        </w:rPr>
        <w:t xml:space="preserve">. S ohledem na časový harmonogram stanovený </w:t>
      </w:r>
      <w:proofErr w:type="spellStart"/>
      <w:r w:rsidRPr="00385F46">
        <w:rPr>
          <w:szCs w:val="24"/>
        </w:rPr>
        <w:t>POSTUPem</w:t>
      </w:r>
      <w:proofErr w:type="spellEnd"/>
      <w:r w:rsidRPr="00385F46">
        <w:rPr>
          <w:szCs w:val="24"/>
        </w:rPr>
        <w:t xml:space="preserve"> bude po projednání podaných žádostí síť sociálních služeb s aktualizovanými jednotkami předložena ke schválení Z</w:t>
      </w:r>
      <w:r w:rsidR="00A04AF2" w:rsidRPr="00385F46">
        <w:rPr>
          <w:szCs w:val="24"/>
        </w:rPr>
        <w:t>astupitelstvu O</w:t>
      </w:r>
      <w:r w:rsidR="00587C1F" w:rsidRPr="00385F46">
        <w:rPr>
          <w:szCs w:val="24"/>
        </w:rPr>
        <w:t>lomouckého kraje</w:t>
      </w:r>
      <w:r w:rsidRPr="00385F46">
        <w:rPr>
          <w:szCs w:val="24"/>
        </w:rPr>
        <w:t xml:space="preserve"> a následně uveřejněna na webových stránkách KÚOK.</w:t>
      </w:r>
    </w:p>
    <w:p w14:paraId="2CA1A3E9" w14:textId="77777777" w:rsidR="005A3F29" w:rsidRPr="00810490" w:rsidRDefault="005A3F29" w:rsidP="001A2B79">
      <w:pPr>
        <w:keepNext/>
        <w:keepLines/>
        <w:pBdr>
          <w:bottom w:val="single" w:sz="4" w:space="1" w:color="000000"/>
        </w:pBdr>
        <w:spacing w:before="480" w:after="240"/>
        <w:outlineLvl w:val="1"/>
        <w:rPr>
          <w:rFonts w:eastAsiaTheme="majorEastAsia"/>
          <w:b/>
          <w:bCs/>
          <w:szCs w:val="24"/>
        </w:rPr>
      </w:pPr>
      <w:bookmarkStart w:id="1" w:name="_Toc480374456"/>
      <w:bookmarkStart w:id="2" w:name="_Toc480374152"/>
      <w:bookmarkStart w:id="3" w:name="_Toc450893773"/>
      <w:bookmarkStart w:id="4" w:name="_Toc133565737"/>
      <w:r w:rsidRPr="00810490">
        <w:rPr>
          <w:rFonts w:eastAsiaTheme="majorEastAsia"/>
          <w:b/>
          <w:bCs/>
          <w:szCs w:val="24"/>
        </w:rPr>
        <w:t xml:space="preserve">2. </w:t>
      </w:r>
      <w:r w:rsidRPr="00010750">
        <w:rPr>
          <w:rFonts w:eastAsiaTheme="majorEastAsia"/>
          <w:b/>
          <w:bCs/>
          <w:szCs w:val="24"/>
        </w:rPr>
        <w:t>Požadovaná výše dotace na zajištění sítě</w:t>
      </w:r>
      <w:bookmarkEnd w:id="1"/>
      <w:bookmarkEnd w:id="2"/>
      <w:bookmarkEnd w:id="3"/>
      <w:bookmarkEnd w:id="4"/>
      <w:r w:rsidRPr="00810490">
        <w:rPr>
          <w:rFonts w:eastAsiaTheme="majorEastAsia"/>
          <w:b/>
          <w:bCs/>
          <w:szCs w:val="24"/>
        </w:rPr>
        <w:t xml:space="preserve"> </w:t>
      </w:r>
    </w:p>
    <w:p w14:paraId="5019F9E9" w14:textId="77777777" w:rsidR="005A3F29" w:rsidRPr="00E80B49" w:rsidRDefault="008D42F9" w:rsidP="001A2B79">
      <w:pPr>
        <w:keepNext/>
        <w:keepLines/>
        <w:pBdr>
          <w:bottom w:val="nil"/>
        </w:pBdr>
        <w:spacing w:before="480" w:after="120"/>
        <w:outlineLvl w:val="2"/>
        <w:rPr>
          <w:rFonts w:eastAsia="Arial Unicode MS"/>
          <w:b/>
          <w:bCs/>
          <w:szCs w:val="24"/>
        </w:rPr>
      </w:pPr>
      <w:bookmarkStart w:id="5" w:name="_Toc513805276"/>
      <w:bookmarkStart w:id="6" w:name="_Toc480374457"/>
      <w:bookmarkStart w:id="7" w:name="_Toc480374153"/>
      <w:bookmarkStart w:id="8" w:name="_Toc133565738"/>
      <w:r w:rsidRPr="00E80B49">
        <w:rPr>
          <w:rFonts w:eastAsia="Arial Unicode MS"/>
          <w:b/>
          <w:bCs/>
          <w:szCs w:val="24"/>
        </w:rPr>
        <w:t xml:space="preserve">2.1 </w:t>
      </w:r>
      <w:r w:rsidR="005A3F29" w:rsidRPr="00E80B49">
        <w:rPr>
          <w:rFonts w:eastAsia="Arial Unicode MS"/>
          <w:b/>
          <w:bCs/>
          <w:szCs w:val="24"/>
        </w:rPr>
        <w:t>Principy stanovení požadované výše dotace</w:t>
      </w:r>
      <w:bookmarkEnd w:id="5"/>
      <w:bookmarkEnd w:id="6"/>
      <w:bookmarkEnd w:id="7"/>
      <w:bookmarkEnd w:id="8"/>
      <w:r w:rsidR="005A3F29" w:rsidRPr="00E80B49">
        <w:rPr>
          <w:rFonts w:eastAsia="Arial Unicode MS"/>
          <w:b/>
          <w:bCs/>
          <w:szCs w:val="24"/>
        </w:rPr>
        <w:t xml:space="preserve"> </w:t>
      </w:r>
    </w:p>
    <w:p w14:paraId="66CCFD59" w14:textId="77777777" w:rsidR="00827D07" w:rsidRPr="00827D07" w:rsidRDefault="00827D07" w:rsidP="001A2B79">
      <w:pPr>
        <w:rPr>
          <w:rFonts w:eastAsia="Aptos"/>
          <w:szCs w:val="24"/>
          <w:lang w:eastAsia="en-US"/>
        </w:rPr>
      </w:pPr>
      <w:bookmarkStart w:id="9" w:name="_Toc513805277"/>
      <w:bookmarkStart w:id="10" w:name="_Toc509999062"/>
      <w:r w:rsidRPr="00827D07">
        <w:rPr>
          <w:rFonts w:eastAsia="Aptos"/>
          <w:szCs w:val="24"/>
          <w:lang w:eastAsia="en-US"/>
        </w:rPr>
        <w:t xml:space="preserve">Na základě § 101a odst. 3 písm. c) zákona o sociálních službách kraj předkládá MPSV ČR žádost o poskytnutí dotace na příslušný rozpočtový rok; žádost obsahuje požadovanou výši dotace na příslušný rozpočtový rok a předpokládaný požadavek na výši dotace na následující 2 rozpočtové roky.   </w:t>
      </w:r>
    </w:p>
    <w:p w14:paraId="612025AF" w14:textId="77777777" w:rsidR="00827D07" w:rsidRPr="00827D07" w:rsidRDefault="00827D07" w:rsidP="001A2B79">
      <w:pPr>
        <w:rPr>
          <w:rFonts w:eastAsia="Aptos"/>
          <w:szCs w:val="24"/>
          <w:lang w:eastAsia="en-US"/>
        </w:rPr>
      </w:pPr>
      <w:r w:rsidRPr="00827D07">
        <w:rPr>
          <w:rFonts w:eastAsia="Aptos"/>
          <w:szCs w:val="24"/>
          <w:lang w:eastAsia="en-US"/>
        </w:rPr>
        <w:t xml:space="preserve">V souladu s výše uvedeným ustanovením zákona o sociálních službách obsahuje Akční plán na rok 2026 v části Kalkulace požadované výše dotace na zajištění sítě </w:t>
      </w:r>
    </w:p>
    <w:p w14:paraId="2952890F" w14:textId="77777777" w:rsidR="00827D07" w:rsidRPr="00827D07" w:rsidRDefault="00827D07" w:rsidP="001A2B79">
      <w:pPr>
        <w:numPr>
          <w:ilvl w:val="0"/>
          <w:numId w:val="10"/>
        </w:numPr>
        <w:rPr>
          <w:rFonts w:eastAsia="Arial Unicode MS"/>
          <w:szCs w:val="24"/>
        </w:rPr>
      </w:pPr>
      <w:r w:rsidRPr="00827D07">
        <w:rPr>
          <w:rFonts w:eastAsia="Arial Unicode MS"/>
          <w:szCs w:val="24"/>
        </w:rPr>
        <w:t>celkové náklady na poskytování sociálních služeb v Olomouckém kraji pro rok 2025 a výši požadavku na dotaci ze státního rozpočtu na poskytování sociálních služeb (dále jen „dotace“), ve výši uvedené v žádostech o dotaci</w:t>
      </w:r>
      <w:r w:rsidRPr="00827D07">
        <w:rPr>
          <w:rFonts w:eastAsia="Arial Unicode MS"/>
          <w:szCs w:val="24"/>
          <w:vertAlign w:val="superscript"/>
        </w:rPr>
        <w:footnoteReference w:id="1"/>
      </w:r>
      <w:r w:rsidRPr="00827D07">
        <w:rPr>
          <w:rFonts w:eastAsia="Arial Unicode MS"/>
          <w:szCs w:val="24"/>
        </w:rPr>
        <w:t xml:space="preserve"> podávaných poskytovateli sociálních služeb prostřednictvím aplikace OK služby-poskytovatel a </w:t>
      </w:r>
    </w:p>
    <w:p w14:paraId="5E60E029" w14:textId="77777777" w:rsidR="00827D07" w:rsidRPr="00827D07" w:rsidRDefault="00827D07" w:rsidP="001A2B79">
      <w:pPr>
        <w:numPr>
          <w:ilvl w:val="0"/>
          <w:numId w:val="10"/>
        </w:numPr>
        <w:rPr>
          <w:rFonts w:eastAsia="Arial Unicode MS"/>
          <w:szCs w:val="24"/>
        </w:rPr>
      </w:pPr>
      <w:r w:rsidRPr="00827D07">
        <w:rPr>
          <w:rFonts w:eastAsia="Arial Unicode MS"/>
          <w:szCs w:val="24"/>
        </w:rPr>
        <w:t xml:space="preserve">vymezení výše krajem požadované dotace na zajištění poskytování sociálních služeb zařazených do sítě sociálních služeb na rok 2026 a předpokládaný požadavek na výši dotace na roky 2027 a 2028. </w:t>
      </w:r>
    </w:p>
    <w:p w14:paraId="45846B52" w14:textId="77777777" w:rsidR="00827D07" w:rsidRPr="00827D07" w:rsidRDefault="00827D07" w:rsidP="001A2B79">
      <w:pPr>
        <w:rPr>
          <w:rFonts w:eastAsia="Aptos"/>
          <w:szCs w:val="24"/>
          <w:lang w:eastAsia="en-US"/>
        </w:rPr>
      </w:pPr>
      <w:r w:rsidRPr="00827D07">
        <w:rPr>
          <w:rFonts w:eastAsia="Aptos"/>
          <w:szCs w:val="24"/>
          <w:lang w:eastAsia="en-US"/>
        </w:rPr>
        <w:t>Při stanovení požadované výše dotace na rok 2026 a předpokládaného požadavku na následující dva rozpočtové roky, byly využity následující východiska a zohledněny tyto skutečnosti:</w:t>
      </w:r>
    </w:p>
    <w:p w14:paraId="04160E3F" w14:textId="77777777" w:rsidR="00827D07" w:rsidRPr="00827D07" w:rsidRDefault="00827D07" w:rsidP="001A2B79">
      <w:pPr>
        <w:numPr>
          <w:ilvl w:val="0"/>
          <w:numId w:val="11"/>
        </w:numPr>
        <w:ind w:left="360"/>
        <w:contextualSpacing/>
        <w:rPr>
          <w:rFonts w:eastAsia="Aptos"/>
          <w:szCs w:val="24"/>
          <w:lang w:eastAsia="en-US"/>
        </w:rPr>
      </w:pPr>
      <w:r w:rsidRPr="00827D07">
        <w:rPr>
          <w:rFonts w:eastAsia="Aptos"/>
          <w:szCs w:val="24"/>
          <w:lang w:eastAsia="en-US"/>
        </w:rPr>
        <w:t>Požadovaná výše dotace byla stanovena v souladu s Programem finanční podpory poskytování sociálních služeb v Olomouckém kraji, Podprogramem č. 1, který zohledňuje princip vícezdrojového financování sociálních služeb a je v souladu s platnou legislativou a metodikou MPSV ČR.</w:t>
      </w:r>
    </w:p>
    <w:p w14:paraId="5D2D381D" w14:textId="77777777" w:rsidR="00827D07" w:rsidRPr="00827D07" w:rsidRDefault="00827D07" w:rsidP="001A2B79">
      <w:pPr>
        <w:rPr>
          <w:rFonts w:eastAsia="Aptos"/>
          <w:szCs w:val="24"/>
          <w:lang w:eastAsia="en-US"/>
        </w:rPr>
      </w:pPr>
      <w:r w:rsidRPr="00827D07">
        <w:rPr>
          <w:rFonts w:eastAsia="Aptos"/>
          <w:szCs w:val="24"/>
          <w:lang w:eastAsia="en-US"/>
        </w:rPr>
        <w:lastRenderedPageBreak/>
        <w:t xml:space="preserve">Při stanovení požadované výše dotace na rok 2026 bylo využito principů a proměnných stanovených Programem, Podprogramem č. 1 na rok 2025. </w:t>
      </w:r>
      <w:r w:rsidRPr="00827D07">
        <w:rPr>
          <w:rFonts w:eastAsia="Aptos"/>
          <w:szCs w:val="24"/>
          <w:shd w:val="clear" w:color="auto" w:fill="FFFFFF"/>
          <w:lang w:eastAsia="en-US"/>
        </w:rPr>
        <w:t>Data pro rok 2026 byla vytvořena modelací dat roku 2025, a to na základě předpokladů a očekávání pro rok 2026. Výsledné hodnoty se tedy neopírají o přímé predikce ze strany poskytovatelů sociálních služeb na rok 2026, které by zohledňovaly dopad legislativních změn (a dalších skutečností) na příjmové straně rozpočtů a rovněž budoucí vývoj na straně výdajů sociálních služeb, ale jsou spíše odvozeny z odborných predikcí, které reflektují předpokládaný vývoj situace v následujícím roce.</w:t>
      </w:r>
    </w:p>
    <w:p w14:paraId="2ACE9757" w14:textId="7191231A" w:rsidR="00827D07" w:rsidRPr="00827D07" w:rsidRDefault="00827D07" w:rsidP="001A2B79">
      <w:pPr>
        <w:numPr>
          <w:ilvl w:val="0"/>
          <w:numId w:val="11"/>
        </w:numPr>
        <w:ind w:left="357" w:hanging="357"/>
        <w:rPr>
          <w:rFonts w:eastAsia="Aptos"/>
          <w:szCs w:val="24"/>
          <w:lang w:eastAsia="en-US"/>
        </w:rPr>
      </w:pPr>
      <w:r w:rsidRPr="00827D07">
        <w:rPr>
          <w:rFonts w:eastAsia="Aptos"/>
          <w:szCs w:val="24"/>
          <w:lang w:eastAsia="en-US"/>
        </w:rPr>
        <w:t>Na rok 2026 je předpokládáno částečné zajištění financování sociálních služeb azylové domy prostřednictvím Individuálního projektu Olomouckého kraje „Azylové domy v Olomouckém kraji III.“</w:t>
      </w:r>
      <w:r w:rsidR="00BD3833">
        <w:rPr>
          <w:rFonts w:eastAsia="Aptos"/>
          <w:szCs w:val="24"/>
          <w:lang w:eastAsia="en-US"/>
        </w:rPr>
        <w:t xml:space="preserve"> (dále je „IPOK“)</w:t>
      </w:r>
      <w:r w:rsidRPr="00827D07">
        <w:rPr>
          <w:rFonts w:eastAsia="Aptos"/>
          <w:szCs w:val="24"/>
          <w:lang w:eastAsia="en-US"/>
        </w:rPr>
        <w:t xml:space="preserve">, </w:t>
      </w:r>
      <w:proofErr w:type="spellStart"/>
      <w:r w:rsidRPr="00827D07">
        <w:rPr>
          <w:rFonts w:eastAsia="Aptos"/>
          <w:szCs w:val="24"/>
          <w:lang w:eastAsia="en-US"/>
        </w:rPr>
        <w:t>reg</w:t>
      </w:r>
      <w:proofErr w:type="spellEnd"/>
      <w:r w:rsidRPr="00827D07">
        <w:rPr>
          <w:rFonts w:eastAsia="Aptos"/>
          <w:szCs w:val="24"/>
          <w:lang w:eastAsia="en-US"/>
        </w:rPr>
        <w:t>. č. CZ.03.02.01/00/22_003/0004654 (který je spolufinancován prostřednictvím Operačního programu Zaměstnanost plus a státního rozpočtu České republiky).</w:t>
      </w:r>
    </w:p>
    <w:p w14:paraId="5290A02C" w14:textId="77777777" w:rsidR="00827D07" w:rsidRPr="00827D07" w:rsidRDefault="00827D07" w:rsidP="001A2B79">
      <w:pPr>
        <w:ind w:left="357"/>
        <w:rPr>
          <w:rFonts w:eastAsia="Aptos"/>
          <w:szCs w:val="24"/>
          <w:lang w:eastAsia="en-US"/>
        </w:rPr>
      </w:pPr>
      <w:r w:rsidRPr="00827D07">
        <w:rPr>
          <w:rFonts w:eastAsia="Aptos"/>
          <w:szCs w:val="24"/>
          <w:lang w:eastAsia="en-US"/>
        </w:rPr>
        <w:t xml:space="preserve">Vzhledem ke skutečnosti, že objem finančních prostředků z IPOK není dostačující k pokrytí oprávněné ztráty vybraných služeb sociální prevence, je dalším zdrojem financování m. j. účelově určená dotace ze státního rozpočtu na poskytování sociálních služeb. </w:t>
      </w:r>
    </w:p>
    <w:p w14:paraId="115DA156" w14:textId="77777777" w:rsidR="00827D07" w:rsidRPr="00827D07" w:rsidRDefault="00827D07" w:rsidP="001A2B79">
      <w:pPr>
        <w:ind w:left="357"/>
        <w:rPr>
          <w:rFonts w:eastAsia="Aptos"/>
          <w:szCs w:val="24"/>
          <w:lang w:eastAsia="en-US"/>
        </w:rPr>
      </w:pPr>
      <w:r w:rsidRPr="00827D07">
        <w:rPr>
          <w:rFonts w:eastAsia="Aptos"/>
          <w:szCs w:val="24"/>
          <w:lang w:eastAsia="en-US"/>
        </w:rPr>
        <w:t>Rovněž pro období 2027–2028 je předpokládáno částečné financování z IPOK; pro toto období je, shodně jako pro rok 2026 kalkulováno pouze částečné zajištění služeb z prostředků dotace ze státního rozpočtu.</w:t>
      </w:r>
    </w:p>
    <w:p w14:paraId="5003228E" w14:textId="77777777" w:rsidR="00827D07" w:rsidRPr="00827D07" w:rsidRDefault="00827D07" w:rsidP="001A2B79">
      <w:pPr>
        <w:numPr>
          <w:ilvl w:val="0"/>
          <w:numId w:val="11"/>
        </w:numPr>
        <w:ind w:left="357" w:hanging="357"/>
        <w:rPr>
          <w:rFonts w:eastAsia="Aptos"/>
          <w:szCs w:val="24"/>
          <w:lang w:eastAsia="en-US"/>
        </w:rPr>
      </w:pPr>
      <w:r w:rsidRPr="00827D07">
        <w:rPr>
          <w:rFonts w:eastAsia="Aptos"/>
          <w:szCs w:val="24"/>
          <w:lang w:eastAsia="en-US"/>
        </w:rPr>
        <w:t>Ve výhledu na roky 2027 a 2028 byla zohledněna míra inflace ve výši 10 %, a to z důvodu obtížné predikce dalšího vývoje ekonomické situace v ČR.</w:t>
      </w:r>
    </w:p>
    <w:p w14:paraId="235171E9" w14:textId="28B94B2C" w:rsidR="00827D07" w:rsidRPr="00827D07" w:rsidRDefault="00827D07" w:rsidP="00827D07">
      <w:pPr>
        <w:keepNext/>
        <w:keepLines/>
        <w:pBdr>
          <w:bottom w:val="nil"/>
        </w:pBdr>
        <w:spacing w:before="480" w:after="120"/>
        <w:outlineLvl w:val="2"/>
        <w:rPr>
          <w:rFonts w:eastAsia="Arial Unicode MS"/>
          <w:b/>
          <w:bCs/>
          <w:i/>
          <w:color w:val="2C7FCE"/>
          <w:sz w:val="26"/>
          <w:szCs w:val="26"/>
        </w:rPr>
      </w:pPr>
      <w:bookmarkStart w:id="11" w:name="_Toc150245436"/>
      <w:bookmarkStart w:id="12" w:name="_Toc165618056"/>
      <w:bookmarkStart w:id="13" w:name="_Toc165618796"/>
      <w:r w:rsidRPr="00827D07">
        <w:rPr>
          <w:rFonts w:eastAsia="Arial Unicode MS"/>
          <w:b/>
          <w:bCs/>
          <w:i/>
          <w:color w:val="2C7FCE"/>
          <w:sz w:val="26"/>
          <w:szCs w:val="26"/>
        </w:rPr>
        <w:t>2.2. Kalkulace požadované výše dotace na zajištění sítě</w:t>
      </w:r>
      <w:bookmarkEnd w:id="11"/>
      <w:bookmarkEnd w:id="12"/>
      <w:bookmarkEnd w:id="13"/>
    </w:p>
    <w:p w14:paraId="068BC6B3" w14:textId="59D690AF" w:rsidR="00827D07" w:rsidRPr="00827D07" w:rsidRDefault="00827D07" w:rsidP="00827D07">
      <w:pPr>
        <w:keepNext/>
        <w:numPr>
          <w:ilvl w:val="0"/>
          <w:numId w:val="4"/>
        </w:numPr>
        <w:tabs>
          <w:tab w:val="clear" w:pos="360"/>
        </w:tabs>
        <w:spacing w:before="0"/>
        <w:ind w:left="0" w:firstLine="0"/>
        <w:rPr>
          <w:rFonts w:eastAsia="Aptos"/>
          <w:i/>
          <w:iCs/>
          <w:color w:val="0E2841"/>
          <w:sz w:val="18"/>
          <w:szCs w:val="18"/>
          <w:lang w:eastAsia="en-US"/>
        </w:rPr>
      </w:pPr>
      <w:r w:rsidRPr="00827D07">
        <w:rPr>
          <w:rFonts w:eastAsia="Aptos"/>
          <w:i/>
          <w:iCs/>
          <w:color w:val="0E2841"/>
          <w:sz w:val="18"/>
          <w:szCs w:val="18"/>
          <w:lang w:eastAsia="en-US"/>
        </w:rPr>
        <w:t xml:space="preserve">Tabulka č. </w:t>
      </w:r>
      <w:r w:rsidR="001A2B79">
        <w:rPr>
          <w:rFonts w:eastAsia="Aptos"/>
          <w:i/>
          <w:iCs/>
          <w:color w:val="0E2841"/>
          <w:sz w:val="18"/>
          <w:szCs w:val="18"/>
          <w:lang w:eastAsia="en-US"/>
        </w:rPr>
        <w:t>2</w:t>
      </w:r>
      <w:r w:rsidRPr="00827D07">
        <w:rPr>
          <w:rFonts w:eastAsia="Aptos"/>
          <w:i/>
          <w:iCs/>
          <w:color w:val="0E2841"/>
          <w:sz w:val="18"/>
          <w:szCs w:val="18"/>
          <w:lang w:eastAsia="en-US"/>
        </w:rPr>
        <w:t>:</w:t>
      </w:r>
      <w:r w:rsidRPr="00827D07">
        <w:rPr>
          <w:rFonts w:eastAsia="Calibri"/>
          <w:i/>
          <w:iCs/>
          <w:color w:val="0E2841"/>
          <w:sz w:val="20"/>
          <w:szCs w:val="20"/>
          <w:lang w:eastAsia="en-US"/>
        </w:rPr>
        <w:t xml:space="preserve"> Kalkulace požadované dotace na zajištění sítě</w:t>
      </w:r>
    </w:p>
    <w:tbl>
      <w:tblPr>
        <w:tblW w:w="103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11"/>
        <w:gridCol w:w="1531"/>
        <w:gridCol w:w="1531"/>
        <w:gridCol w:w="1531"/>
        <w:gridCol w:w="1531"/>
        <w:gridCol w:w="1531"/>
      </w:tblGrid>
      <w:tr w:rsidR="00827D07" w:rsidRPr="00827D07" w14:paraId="0CCA13CD" w14:textId="77777777" w:rsidTr="0029002B">
        <w:trPr>
          <w:trHeight w:val="397"/>
          <w:tblHeader/>
          <w:jc w:val="center"/>
        </w:trPr>
        <w:tc>
          <w:tcPr>
            <w:tcW w:w="2711" w:type="dxa"/>
            <w:vMerge w:val="restart"/>
            <w:shd w:val="clear" w:color="auto" w:fill="B4C6E7"/>
            <w:vAlign w:val="center"/>
          </w:tcPr>
          <w:p w14:paraId="3B526658" w14:textId="77777777" w:rsidR="00827D07" w:rsidRPr="00827D07" w:rsidRDefault="00827D07" w:rsidP="00827D07">
            <w:pPr>
              <w:spacing w:before="0" w:line="240" w:lineRule="auto"/>
              <w:jc w:val="center"/>
              <w:rPr>
                <w:rFonts w:eastAsia="Times New Roman"/>
                <w:b/>
                <w:color w:val="000000"/>
                <w:sz w:val="20"/>
                <w:szCs w:val="20"/>
              </w:rPr>
            </w:pPr>
            <w:r w:rsidRPr="00827D07">
              <w:rPr>
                <w:rFonts w:eastAsia="Times New Roman"/>
                <w:b/>
                <w:color w:val="000000"/>
                <w:sz w:val="20"/>
                <w:szCs w:val="20"/>
              </w:rPr>
              <w:t>Druh sociální služby</w:t>
            </w:r>
          </w:p>
        </w:tc>
        <w:tc>
          <w:tcPr>
            <w:tcW w:w="3062" w:type="dxa"/>
            <w:gridSpan w:val="2"/>
            <w:shd w:val="clear" w:color="000000" w:fill="BFBFBF"/>
            <w:vAlign w:val="center"/>
          </w:tcPr>
          <w:p w14:paraId="632D02FA" w14:textId="77777777" w:rsidR="00827D07" w:rsidRPr="00827D07" w:rsidRDefault="00827D07" w:rsidP="00827D07">
            <w:pPr>
              <w:spacing w:before="0" w:line="240" w:lineRule="auto"/>
              <w:jc w:val="center"/>
              <w:rPr>
                <w:rFonts w:eastAsia="Times New Roman"/>
                <w:b/>
                <w:color w:val="000000"/>
                <w:sz w:val="20"/>
                <w:szCs w:val="20"/>
              </w:rPr>
            </w:pPr>
            <w:r w:rsidRPr="00827D07">
              <w:rPr>
                <w:rFonts w:eastAsia="Times New Roman"/>
                <w:b/>
                <w:color w:val="000000"/>
                <w:sz w:val="20"/>
                <w:szCs w:val="20"/>
              </w:rPr>
              <w:t>Rok 2025</w:t>
            </w:r>
          </w:p>
        </w:tc>
        <w:tc>
          <w:tcPr>
            <w:tcW w:w="4593" w:type="dxa"/>
            <w:gridSpan w:val="3"/>
            <w:shd w:val="clear" w:color="auto" w:fill="B4C6E7"/>
            <w:vAlign w:val="center"/>
          </w:tcPr>
          <w:p w14:paraId="50D815D3" w14:textId="77777777" w:rsidR="00827D07" w:rsidRPr="00827D07" w:rsidRDefault="00827D07" w:rsidP="00827D07">
            <w:pPr>
              <w:spacing w:before="0" w:line="240" w:lineRule="auto"/>
              <w:jc w:val="center"/>
              <w:rPr>
                <w:rFonts w:eastAsia="Times New Roman"/>
                <w:b/>
                <w:color w:val="000000"/>
                <w:sz w:val="20"/>
                <w:szCs w:val="20"/>
              </w:rPr>
            </w:pPr>
            <w:r w:rsidRPr="00827D07">
              <w:rPr>
                <w:rFonts w:eastAsia="Times New Roman"/>
                <w:b/>
                <w:color w:val="000000"/>
                <w:sz w:val="20"/>
                <w:szCs w:val="20"/>
              </w:rPr>
              <w:t>Předpokládaná výše krajem požadované dotace</w:t>
            </w:r>
          </w:p>
        </w:tc>
      </w:tr>
      <w:tr w:rsidR="00827D07" w:rsidRPr="00827D07" w14:paraId="68BAD0A9" w14:textId="77777777" w:rsidTr="0029002B">
        <w:trPr>
          <w:trHeight w:val="397"/>
          <w:tblHeader/>
          <w:jc w:val="center"/>
        </w:trPr>
        <w:tc>
          <w:tcPr>
            <w:tcW w:w="2711" w:type="dxa"/>
            <w:vMerge/>
            <w:shd w:val="clear" w:color="auto" w:fill="B4C6E7"/>
            <w:vAlign w:val="center"/>
            <w:hideMark/>
          </w:tcPr>
          <w:p w14:paraId="3F665246" w14:textId="77777777" w:rsidR="00827D07" w:rsidRPr="00827D07" w:rsidRDefault="00827D07" w:rsidP="00827D07">
            <w:pPr>
              <w:spacing w:before="0" w:line="240" w:lineRule="auto"/>
              <w:jc w:val="center"/>
              <w:rPr>
                <w:rFonts w:eastAsia="Times New Roman"/>
                <w:b/>
                <w:color w:val="000000"/>
                <w:sz w:val="20"/>
                <w:szCs w:val="20"/>
              </w:rPr>
            </w:pPr>
          </w:p>
        </w:tc>
        <w:tc>
          <w:tcPr>
            <w:tcW w:w="1531" w:type="dxa"/>
            <w:shd w:val="clear" w:color="000000" w:fill="BFBFBF"/>
            <w:vAlign w:val="center"/>
            <w:hideMark/>
          </w:tcPr>
          <w:p w14:paraId="536F271D" w14:textId="77777777" w:rsidR="00827D07" w:rsidRPr="00827D07" w:rsidRDefault="00827D07" w:rsidP="00827D07">
            <w:pPr>
              <w:spacing w:before="0" w:line="240" w:lineRule="auto"/>
              <w:jc w:val="center"/>
              <w:rPr>
                <w:rFonts w:eastAsia="Times New Roman"/>
                <w:b/>
                <w:color w:val="000000"/>
                <w:sz w:val="20"/>
                <w:szCs w:val="20"/>
              </w:rPr>
            </w:pPr>
            <w:r w:rsidRPr="00827D07">
              <w:rPr>
                <w:rFonts w:eastAsia="Times New Roman"/>
                <w:b/>
                <w:color w:val="000000"/>
                <w:sz w:val="20"/>
                <w:szCs w:val="20"/>
              </w:rPr>
              <w:t>Náklady</w:t>
            </w:r>
          </w:p>
        </w:tc>
        <w:tc>
          <w:tcPr>
            <w:tcW w:w="1531" w:type="dxa"/>
            <w:shd w:val="clear" w:color="000000" w:fill="BFBFBF"/>
            <w:vAlign w:val="center"/>
            <w:hideMark/>
          </w:tcPr>
          <w:p w14:paraId="6A3C5BA6" w14:textId="77777777" w:rsidR="00827D07" w:rsidRPr="00827D07" w:rsidRDefault="00827D07" w:rsidP="00827D07">
            <w:pPr>
              <w:spacing w:before="0" w:line="240" w:lineRule="auto"/>
              <w:jc w:val="center"/>
              <w:rPr>
                <w:rFonts w:eastAsia="Times New Roman"/>
                <w:b/>
                <w:color w:val="000000"/>
                <w:sz w:val="20"/>
                <w:szCs w:val="20"/>
              </w:rPr>
            </w:pPr>
            <w:r w:rsidRPr="00827D07">
              <w:rPr>
                <w:rFonts w:eastAsia="Times New Roman"/>
                <w:b/>
                <w:color w:val="000000"/>
                <w:sz w:val="20"/>
                <w:szCs w:val="20"/>
              </w:rPr>
              <w:t>Žádosti o dotaci</w:t>
            </w:r>
          </w:p>
        </w:tc>
        <w:tc>
          <w:tcPr>
            <w:tcW w:w="1531" w:type="dxa"/>
            <w:shd w:val="clear" w:color="000000" w:fill="B4C6E7"/>
            <w:vAlign w:val="center"/>
            <w:hideMark/>
          </w:tcPr>
          <w:p w14:paraId="2894E086" w14:textId="77777777" w:rsidR="00827D07" w:rsidRPr="00827D07" w:rsidRDefault="00827D07" w:rsidP="00827D07">
            <w:pPr>
              <w:spacing w:before="0" w:line="240" w:lineRule="auto"/>
              <w:jc w:val="center"/>
              <w:rPr>
                <w:rFonts w:eastAsia="Aptos"/>
                <w:b/>
                <w:sz w:val="20"/>
                <w:szCs w:val="20"/>
                <w:lang w:eastAsia="en-US"/>
              </w:rPr>
            </w:pPr>
            <w:r w:rsidRPr="00827D07">
              <w:rPr>
                <w:rFonts w:eastAsia="Aptos"/>
                <w:b/>
                <w:sz w:val="20"/>
                <w:szCs w:val="20"/>
                <w:lang w:eastAsia="en-US"/>
              </w:rPr>
              <w:t>Predikce na rok 2026</w:t>
            </w:r>
          </w:p>
        </w:tc>
        <w:tc>
          <w:tcPr>
            <w:tcW w:w="1531" w:type="dxa"/>
            <w:shd w:val="clear" w:color="000000" w:fill="B4C6E7"/>
            <w:vAlign w:val="center"/>
            <w:hideMark/>
          </w:tcPr>
          <w:p w14:paraId="727639C3" w14:textId="77777777" w:rsidR="00827D07" w:rsidRPr="00827D07" w:rsidRDefault="00827D07" w:rsidP="00827D07">
            <w:pPr>
              <w:spacing w:before="0" w:line="240" w:lineRule="auto"/>
              <w:jc w:val="center"/>
              <w:rPr>
                <w:rFonts w:eastAsia="Aptos"/>
                <w:b/>
                <w:sz w:val="20"/>
                <w:szCs w:val="20"/>
                <w:lang w:eastAsia="en-US"/>
              </w:rPr>
            </w:pPr>
            <w:r w:rsidRPr="00827D07">
              <w:rPr>
                <w:rFonts w:eastAsia="Aptos"/>
                <w:b/>
                <w:sz w:val="20"/>
                <w:szCs w:val="20"/>
                <w:lang w:eastAsia="en-US"/>
              </w:rPr>
              <w:t>Predikce na rok 2027</w:t>
            </w:r>
          </w:p>
        </w:tc>
        <w:tc>
          <w:tcPr>
            <w:tcW w:w="1531" w:type="dxa"/>
            <w:shd w:val="clear" w:color="000000" w:fill="B4C6E7"/>
            <w:vAlign w:val="center"/>
            <w:hideMark/>
          </w:tcPr>
          <w:p w14:paraId="3C92D9D0" w14:textId="77777777" w:rsidR="00827D07" w:rsidRPr="00827D07" w:rsidRDefault="00827D07" w:rsidP="00827D07">
            <w:pPr>
              <w:spacing w:before="0" w:line="240" w:lineRule="auto"/>
              <w:jc w:val="center"/>
              <w:rPr>
                <w:rFonts w:eastAsia="Aptos"/>
                <w:b/>
                <w:sz w:val="20"/>
                <w:szCs w:val="20"/>
                <w:lang w:eastAsia="en-US"/>
              </w:rPr>
            </w:pPr>
            <w:r w:rsidRPr="00827D07">
              <w:rPr>
                <w:rFonts w:eastAsia="Aptos"/>
                <w:b/>
                <w:sz w:val="20"/>
                <w:szCs w:val="20"/>
                <w:lang w:eastAsia="en-US"/>
              </w:rPr>
              <w:t>Predikce na rok 2028</w:t>
            </w:r>
          </w:p>
        </w:tc>
      </w:tr>
      <w:tr w:rsidR="00827D07" w:rsidRPr="00827D07" w14:paraId="35CCB142" w14:textId="77777777" w:rsidTr="0029002B">
        <w:trPr>
          <w:trHeight w:val="397"/>
          <w:jc w:val="center"/>
        </w:trPr>
        <w:tc>
          <w:tcPr>
            <w:tcW w:w="2711" w:type="dxa"/>
            <w:shd w:val="clear" w:color="auto" w:fill="auto"/>
            <w:vAlign w:val="center"/>
          </w:tcPr>
          <w:p w14:paraId="61E3C3E7"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azylové domy</w:t>
            </w:r>
          </w:p>
        </w:tc>
        <w:tc>
          <w:tcPr>
            <w:tcW w:w="1531" w:type="dxa"/>
            <w:shd w:val="clear" w:color="auto" w:fill="D9D9D9"/>
            <w:noWrap/>
            <w:vAlign w:val="center"/>
          </w:tcPr>
          <w:p w14:paraId="79DF4CF5"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101 176 639</w:t>
            </w:r>
          </w:p>
        </w:tc>
        <w:tc>
          <w:tcPr>
            <w:tcW w:w="1531" w:type="dxa"/>
            <w:shd w:val="clear" w:color="auto" w:fill="D9D9D9"/>
            <w:noWrap/>
            <w:vAlign w:val="center"/>
          </w:tcPr>
          <w:p w14:paraId="06983D4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30 054 437</w:t>
            </w:r>
          </w:p>
        </w:tc>
        <w:tc>
          <w:tcPr>
            <w:tcW w:w="1531" w:type="dxa"/>
            <w:shd w:val="clear" w:color="000000" w:fill="D9E2F3"/>
            <w:noWrap/>
            <w:vAlign w:val="center"/>
          </w:tcPr>
          <w:p w14:paraId="1972AFF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 xml:space="preserve">57 430 000    </w:t>
            </w:r>
          </w:p>
        </w:tc>
        <w:tc>
          <w:tcPr>
            <w:tcW w:w="1531" w:type="dxa"/>
            <w:shd w:val="clear" w:color="000000" w:fill="D9E2F3"/>
            <w:noWrap/>
            <w:vAlign w:val="center"/>
          </w:tcPr>
          <w:p w14:paraId="5FD5904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90 358 000</w:t>
            </w:r>
          </w:p>
        </w:tc>
        <w:tc>
          <w:tcPr>
            <w:tcW w:w="1531" w:type="dxa"/>
            <w:shd w:val="clear" w:color="000000" w:fill="D9E2F3"/>
            <w:noWrap/>
            <w:vAlign w:val="center"/>
          </w:tcPr>
          <w:p w14:paraId="1F0C4C0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150 000 000</w:t>
            </w:r>
          </w:p>
        </w:tc>
      </w:tr>
      <w:tr w:rsidR="00827D07" w:rsidRPr="00827D07" w14:paraId="3A21D910" w14:textId="77777777" w:rsidTr="0029002B">
        <w:trPr>
          <w:trHeight w:val="397"/>
          <w:jc w:val="center"/>
        </w:trPr>
        <w:tc>
          <w:tcPr>
            <w:tcW w:w="2711" w:type="dxa"/>
            <w:shd w:val="clear" w:color="auto" w:fill="auto"/>
            <w:vAlign w:val="center"/>
          </w:tcPr>
          <w:p w14:paraId="08B9043A"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centra denních služeb</w:t>
            </w:r>
          </w:p>
        </w:tc>
        <w:tc>
          <w:tcPr>
            <w:tcW w:w="1531" w:type="dxa"/>
            <w:shd w:val="clear" w:color="auto" w:fill="D9D9D9"/>
            <w:noWrap/>
            <w:vAlign w:val="center"/>
          </w:tcPr>
          <w:p w14:paraId="3CE3D0F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50 678 909</w:t>
            </w:r>
          </w:p>
        </w:tc>
        <w:tc>
          <w:tcPr>
            <w:tcW w:w="1531" w:type="dxa"/>
            <w:shd w:val="clear" w:color="auto" w:fill="D9D9D9"/>
            <w:noWrap/>
            <w:vAlign w:val="center"/>
          </w:tcPr>
          <w:p w14:paraId="0AD4F19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38 287 645</w:t>
            </w:r>
          </w:p>
        </w:tc>
        <w:tc>
          <w:tcPr>
            <w:tcW w:w="1531" w:type="dxa"/>
            <w:shd w:val="clear" w:color="000000" w:fill="D9E2F3"/>
            <w:noWrap/>
            <w:vAlign w:val="center"/>
          </w:tcPr>
          <w:p w14:paraId="264527D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45 960 000</w:t>
            </w:r>
          </w:p>
        </w:tc>
        <w:tc>
          <w:tcPr>
            <w:tcW w:w="1531" w:type="dxa"/>
            <w:shd w:val="clear" w:color="000000" w:fill="D9E2F3"/>
            <w:noWrap/>
            <w:vAlign w:val="center"/>
          </w:tcPr>
          <w:p w14:paraId="461631D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50 560 000</w:t>
            </w:r>
          </w:p>
        </w:tc>
        <w:tc>
          <w:tcPr>
            <w:tcW w:w="1531" w:type="dxa"/>
            <w:shd w:val="clear" w:color="000000" w:fill="D9E2F3"/>
            <w:noWrap/>
            <w:vAlign w:val="center"/>
          </w:tcPr>
          <w:p w14:paraId="5C8374BA"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55 620 000</w:t>
            </w:r>
          </w:p>
        </w:tc>
      </w:tr>
      <w:tr w:rsidR="00827D07" w:rsidRPr="00827D07" w14:paraId="15FD907B" w14:textId="77777777" w:rsidTr="0029002B">
        <w:trPr>
          <w:trHeight w:val="397"/>
          <w:jc w:val="center"/>
        </w:trPr>
        <w:tc>
          <w:tcPr>
            <w:tcW w:w="2711" w:type="dxa"/>
            <w:shd w:val="clear" w:color="auto" w:fill="auto"/>
            <w:vAlign w:val="center"/>
          </w:tcPr>
          <w:p w14:paraId="3F911E51"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denní stacionáře</w:t>
            </w:r>
          </w:p>
        </w:tc>
        <w:tc>
          <w:tcPr>
            <w:tcW w:w="1531" w:type="dxa"/>
            <w:shd w:val="clear" w:color="auto" w:fill="D9D9D9"/>
            <w:noWrap/>
            <w:vAlign w:val="center"/>
          </w:tcPr>
          <w:p w14:paraId="3D44EBA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116 578 286</w:t>
            </w:r>
          </w:p>
        </w:tc>
        <w:tc>
          <w:tcPr>
            <w:tcW w:w="1531" w:type="dxa"/>
            <w:shd w:val="clear" w:color="auto" w:fill="D9D9D9"/>
            <w:noWrap/>
            <w:vAlign w:val="center"/>
          </w:tcPr>
          <w:p w14:paraId="18116AE5"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86 796 376</w:t>
            </w:r>
          </w:p>
        </w:tc>
        <w:tc>
          <w:tcPr>
            <w:tcW w:w="1531" w:type="dxa"/>
            <w:shd w:val="clear" w:color="000000" w:fill="D9E2F3"/>
            <w:noWrap/>
            <w:vAlign w:val="center"/>
          </w:tcPr>
          <w:p w14:paraId="6F3E8504"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103 520 000</w:t>
            </w:r>
          </w:p>
        </w:tc>
        <w:tc>
          <w:tcPr>
            <w:tcW w:w="1531" w:type="dxa"/>
            <w:shd w:val="clear" w:color="000000" w:fill="D9E2F3"/>
            <w:noWrap/>
            <w:vAlign w:val="center"/>
          </w:tcPr>
          <w:p w14:paraId="4C81E2A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113 880 000</w:t>
            </w:r>
          </w:p>
        </w:tc>
        <w:tc>
          <w:tcPr>
            <w:tcW w:w="1531" w:type="dxa"/>
            <w:shd w:val="clear" w:color="000000" w:fill="D9E2F3"/>
            <w:noWrap/>
            <w:vAlign w:val="center"/>
          </w:tcPr>
          <w:p w14:paraId="2DE06E8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125 270 000</w:t>
            </w:r>
          </w:p>
        </w:tc>
      </w:tr>
      <w:tr w:rsidR="00827D07" w:rsidRPr="00827D07" w14:paraId="1CCDEBEF" w14:textId="77777777" w:rsidTr="0029002B">
        <w:trPr>
          <w:trHeight w:val="397"/>
          <w:jc w:val="center"/>
        </w:trPr>
        <w:tc>
          <w:tcPr>
            <w:tcW w:w="2711" w:type="dxa"/>
            <w:shd w:val="clear" w:color="auto" w:fill="auto"/>
            <w:vAlign w:val="center"/>
          </w:tcPr>
          <w:p w14:paraId="3B9C8B30"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domovy pro osoby se zdravotním postižením</w:t>
            </w:r>
          </w:p>
        </w:tc>
        <w:tc>
          <w:tcPr>
            <w:tcW w:w="1531" w:type="dxa"/>
            <w:shd w:val="clear" w:color="auto" w:fill="D9D9D9"/>
            <w:noWrap/>
            <w:vAlign w:val="center"/>
          </w:tcPr>
          <w:p w14:paraId="7F94755E"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795 725 172</w:t>
            </w:r>
          </w:p>
        </w:tc>
        <w:tc>
          <w:tcPr>
            <w:tcW w:w="1531" w:type="dxa"/>
            <w:shd w:val="clear" w:color="auto" w:fill="D9D9D9"/>
            <w:noWrap/>
            <w:vAlign w:val="center"/>
          </w:tcPr>
          <w:p w14:paraId="7D679B8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351 900 426</w:t>
            </w:r>
          </w:p>
        </w:tc>
        <w:tc>
          <w:tcPr>
            <w:tcW w:w="1531" w:type="dxa"/>
            <w:shd w:val="clear" w:color="000000" w:fill="D9E2F3"/>
            <w:noWrap/>
            <w:vAlign w:val="center"/>
          </w:tcPr>
          <w:p w14:paraId="0AC72234"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258 190 000</w:t>
            </w:r>
          </w:p>
        </w:tc>
        <w:tc>
          <w:tcPr>
            <w:tcW w:w="1531" w:type="dxa"/>
            <w:shd w:val="clear" w:color="000000" w:fill="D9E2F3"/>
            <w:noWrap/>
            <w:vAlign w:val="center"/>
          </w:tcPr>
          <w:p w14:paraId="1477DE5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284 010 000</w:t>
            </w:r>
          </w:p>
        </w:tc>
        <w:tc>
          <w:tcPr>
            <w:tcW w:w="1531" w:type="dxa"/>
            <w:shd w:val="clear" w:color="000000" w:fill="D9E2F3"/>
            <w:noWrap/>
            <w:vAlign w:val="center"/>
          </w:tcPr>
          <w:p w14:paraId="559A557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312 420 000</w:t>
            </w:r>
          </w:p>
        </w:tc>
      </w:tr>
      <w:tr w:rsidR="00827D07" w:rsidRPr="00827D07" w14:paraId="0A54B09C" w14:textId="77777777" w:rsidTr="0029002B">
        <w:trPr>
          <w:trHeight w:val="397"/>
          <w:jc w:val="center"/>
        </w:trPr>
        <w:tc>
          <w:tcPr>
            <w:tcW w:w="2711" w:type="dxa"/>
            <w:shd w:val="clear" w:color="auto" w:fill="auto"/>
            <w:vAlign w:val="center"/>
          </w:tcPr>
          <w:p w14:paraId="22E0F5A9"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domovy pro seniory</w:t>
            </w:r>
          </w:p>
        </w:tc>
        <w:tc>
          <w:tcPr>
            <w:tcW w:w="1531" w:type="dxa"/>
            <w:shd w:val="clear" w:color="auto" w:fill="D9D9D9"/>
            <w:noWrap/>
            <w:vAlign w:val="center"/>
          </w:tcPr>
          <w:p w14:paraId="2B3D12F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1 666 281 973</w:t>
            </w:r>
          </w:p>
        </w:tc>
        <w:tc>
          <w:tcPr>
            <w:tcW w:w="1531" w:type="dxa"/>
            <w:shd w:val="clear" w:color="auto" w:fill="D9D9D9"/>
            <w:noWrap/>
            <w:vAlign w:val="center"/>
          </w:tcPr>
          <w:p w14:paraId="610D348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614 202 421</w:t>
            </w:r>
          </w:p>
        </w:tc>
        <w:tc>
          <w:tcPr>
            <w:tcW w:w="1531" w:type="dxa"/>
            <w:shd w:val="clear" w:color="000000" w:fill="D9E2F3"/>
            <w:noWrap/>
            <w:vAlign w:val="center"/>
          </w:tcPr>
          <w:p w14:paraId="52A595C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610 850 000</w:t>
            </w:r>
          </w:p>
        </w:tc>
        <w:tc>
          <w:tcPr>
            <w:tcW w:w="1531" w:type="dxa"/>
            <w:shd w:val="clear" w:color="000000" w:fill="D9E2F3"/>
            <w:noWrap/>
            <w:vAlign w:val="center"/>
          </w:tcPr>
          <w:p w14:paraId="356FF8F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671 940 000</w:t>
            </w:r>
          </w:p>
        </w:tc>
        <w:tc>
          <w:tcPr>
            <w:tcW w:w="1531" w:type="dxa"/>
            <w:shd w:val="clear" w:color="000000" w:fill="D9E2F3"/>
            <w:noWrap/>
            <w:vAlign w:val="center"/>
          </w:tcPr>
          <w:p w14:paraId="23AEF75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739 140 000</w:t>
            </w:r>
          </w:p>
        </w:tc>
      </w:tr>
      <w:tr w:rsidR="00827D07" w:rsidRPr="00827D07" w14:paraId="314AC42D" w14:textId="77777777" w:rsidTr="0029002B">
        <w:trPr>
          <w:trHeight w:val="397"/>
          <w:jc w:val="center"/>
        </w:trPr>
        <w:tc>
          <w:tcPr>
            <w:tcW w:w="2711" w:type="dxa"/>
            <w:shd w:val="clear" w:color="auto" w:fill="auto"/>
            <w:vAlign w:val="center"/>
          </w:tcPr>
          <w:p w14:paraId="6E0813E1"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domovy se zvláštním režimem</w:t>
            </w:r>
          </w:p>
        </w:tc>
        <w:tc>
          <w:tcPr>
            <w:tcW w:w="1531" w:type="dxa"/>
            <w:shd w:val="clear" w:color="auto" w:fill="D9D9D9"/>
            <w:noWrap/>
            <w:vAlign w:val="center"/>
          </w:tcPr>
          <w:p w14:paraId="46EF9C5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767 342 672</w:t>
            </w:r>
          </w:p>
        </w:tc>
        <w:tc>
          <w:tcPr>
            <w:tcW w:w="1531" w:type="dxa"/>
            <w:shd w:val="clear" w:color="auto" w:fill="D9D9D9"/>
            <w:noWrap/>
            <w:vAlign w:val="center"/>
          </w:tcPr>
          <w:p w14:paraId="714CB9B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329 878 838</w:t>
            </w:r>
          </w:p>
        </w:tc>
        <w:tc>
          <w:tcPr>
            <w:tcW w:w="1531" w:type="dxa"/>
            <w:shd w:val="clear" w:color="000000" w:fill="D9E2F3"/>
            <w:noWrap/>
            <w:vAlign w:val="center"/>
          </w:tcPr>
          <w:p w14:paraId="277ECAE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327 690 000</w:t>
            </w:r>
          </w:p>
        </w:tc>
        <w:tc>
          <w:tcPr>
            <w:tcW w:w="1531" w:type="dxa"/>
            <w:shd w:val="clear" w:color="000000" w:fill="D9E2F3"/>
            <w:noWrap/>
            <w:vAlign w:val="center"/>
          </w:tcPr>
          <w:p w14:paraId="463BA75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360 460 000</w:t>
            </w:r>
          </w:p>
        </w:tc>
        <w:tc>
          <w:tcPr>
            <w:tcW w:w="1531" w:type="dxa"/>
            <w:shd w:val="clear" w:color="000000" w:fill="D9E2F3"/>
            <w:noWrap/>
            <w:vAlign w:val="center"/>
          </w:tcPr>
          <w:p w14:paraId="7990564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396 510 000</w:t>
            </w:r>
          </w:p>
        </w:tc>
      </w:tr>
      <w:tr w:rsidR="00827D07" w:rsidRPr="00827D07" w14:paraId="2354A14A" w14:textId="77777777" w:rsidTr="0029002B">
        <w:trPr>
          <w:trHeight w:val="397"/>
          <w:jc w:val="center"/>
        </w:trPr>
        <w:tc>
          <w:tcPr>
            <w:tcW w:w="2711" w:type="dxa"/>
            <w:shd w:val="clear" w:color="auto" w:fill="auto"/>
            <w:vAlign w:val="center"/>
          </w:tcPr>
          <w:p w14:paraId="1C54B8DC"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domy na půl cesty</w:t>
            </w:r>
          </w:p>
        </w:tc>
        <w:tc>
          <w:tcPr>
            <w:tcW w:w="1531" w:type="dxa"/>
            <w:shd w:val="clear" w:color="auto" w:fill="D9D9D9"/>
            <w:noWrap/>
            <w:vAlign w:val="center"/>
          </w:tcPr>
          <w:p w14:paraId="7944807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6 166 500</w:t>
            </w:r>
          </w:p>
        </w:tc>
        <w:tc>
          <w:tcPr>
            <w:tcW w:w="1531" w:type="dxa"/>
            <w:shd w:val="clear" w:color="auto" w:fill="D9D9D9"/>
            <w:noWrap/>
            <w:vAlign w:val="center"/>
          </w:tcPr>
          <w:p w14:paraId="540196C5"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5 340 000</w:t>
            </w:r>
          </w:p>
        </w:tc>
        <w:tc>
          <w:tcPr>
            <w:tcW w:w="1531" w:type="dxa"/>
            <w:shd w:val="clear" w:color="000000" w:fill="D9E2F3"/>
            <w:noWrap/>
            <w:vAlign w:val="center"/>
          </w:tcPr>
          <w:p w14:paraId="5C01E44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5 530 000</w:t>
            </w:r>
          </w:p>
        </w:tc>
        <w:tc>
          <w:tcPr>
            <w:tcW w:w="1531" w:type="dxa"/>
            <w:shd w:val="clear" w:color="000000" w:fill="D9E2F3"/>
            <w:noWrap/>
            <w:vAlign w:val="center"/>
          </w:tcPr>
          <w:p w14:paraId="4FA0248E"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6 090 000</w:t>
            </w:r>
          </w:p>
        </w:tc>
        <w:tc>
          <w:tcPr>
            <w:tcW w:w="1531" w:type="dxa"/>
            <w:shd w:val="clear" w:color="000000" w:fill="D9E2F3"/>
            <w:noWrap/>
            <w:vAlign w:val="center"/>
          </w:tcPr>
          <w:p w14:paraId="4DA7397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6 700 000</w:t>
            </w:r>
          </w:p>
        </w:tc>
      </w:tr>
      <w:tr w:rsidR="00827D07" w:rsidRPr="00827D07" w14:paraId="3B60BE15" w14:textId="77777777" w:rsidTr="0029002B">
        <w:trPr>
          <w:trHeight w:val="397"/>
          <w:jc w:val="center"/>
        </w:trPr>
        <w:tc>
          <w:tcPr>
            <w:tcW w:w="2711" w:type="dxa"/>
            <w:shd w:val="clear" w:color="auto" w:fill="auto"/>
            <w:vAlign w:val="center"/>
          </w:tcPr>
          <w:p w14:paraId="00BC4E8E"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chráněné bydlení</w:t>
            </w:r>
          </w:p>
        </w:tc>
        <w:tc>
          <w:tcPr>
            <w:tcW w:w="1531" w:type="dxa"/>
            <w:shd w:val="clear" w:color="auto" w:fill="D9D9D9"/>
            <w:noWrap/>
            <w:vAlign w:val="center"/>
          </w:tcPr>
          <w:p w14:paraId="531E59A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130 138 000</w:t>
            </w:r>
          </w:p>
        </w:tc>
        <w:tc>
          <w:tcPr>
            <w:tcW w:w="1531" w:type="dxa"/>
            <w:shd w:val="clear" w:color="auto" w:fill="D9D9D9"/>
            <w:noWrap/>
            <w:vAlign w:val="center"/>
          </w:tcPr>
          <w:p w14:paraId="4E63359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72 734 525</w:t>
            </w:r>
          </w:p>
        </w:tc>
        <w:tc>
          <w:tcPr>
            <w:tcW w:w="1531" w:type="dxa"/>
            <w:shd w:val="clear" w:color="000000" w:fill="D9E2F3"/>
            <w:noWrap/>
            <w:vAlign w:val="center"/>
          </w:tcPr>
          <w:p w14:paraId="4F0C9F5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89 570 000</w:t>
            </w:r>
          </w:p>
        </w:tc>
        <w:tc>
          <w:tcPr>
            <w:tcW w:w="1531" w:type="dxa"/>
            <w:shd w:val="clear" w:color="000000" w:fill="D9E2F3"/>
            <w:noWrap/>
            <w:vAlign w:val="center"/>
          </w:tcPr>
          <w:p w14:paraId="3249247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98 530 000</w:t>
            </w:r>
          </w:p>
        </w:tc>
        <w:tc>
          <w:tcPr>
            <w:tcW w:w="1531" w:type="dxa"/>
            <w:shd w:val="clear" w:color="000000" w:fill="D9E2F3"/>
            <w:noWrap/>
            <w:vAlign w:val="center"/>
          </w:tcPr>
          <w:p w14:paraId="3B07F57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108 390 000</w:t>
            </w:r>
          </w:p>
        </w:tc>
      </w:tr>
      <w:tr w:rsidR="00827D07" w:rsidRPr="00827D07" w14:paraId="4EA77D81" w14:textId="77777777" w:rsidTr="0029002B">
        <w:trPr>
          <w:trHeight w:val="397"/>
          <w:jc w:val="center"/>
        </w:trPr>
        <w:tc>
          <w:tcPr>
            <w:tcW w:w="2711" w:type="dxa"/>
            <w:shd w:val="clear" w:color="auto" w:fill="auto"/>
            <w:vAlign w:val="center"/>
          </w:tcPr>
          <w:p w14:paraId="0968FC08"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intervenční centra</w:t>
            </w:r>
          </w:p>
        </w:tc>
        <w:tc>
          <w:tcPr>
            <w:tcW w:w="1531" w:type="dxa"/>
            <w:shd w:val="clear" w:color="auto" w:fill="D9D9D9"/>
            <w:noWrap/>
            <w:vAlign w:val="center"/>
          </w:tcPr>
          <w:p w14:paraId="1B996E9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5 353 230</w:t>
            </w:r>
          </w:p>
        </w:tc>
        <w:tc>
          <w:tcPr>
            <w:tcW w:w="1531" w:type="dxa"/>
            <w:shd w:val="clear" w:color="auto" w:fill="D9D9D9"/>
            <w:noWrap/>
            <w:vAlign w:val="center"/>
          </w:tcPr>
          <w:p w14:paraId="683351DE"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4 898 942</w:t>
            </w:r>
          </w:p>
        </w:tc>
        <w:tc>
          <w:tcPr>
            <w:tcW w:w="1531" w:type="dxa"/>
            <w:shd w:val="clear" w:color="000000" w:fill="D9E2F3"/>
            <w:noWrap/>
            <w:vAlign w:val="center"/>
          </w:tcPr>
          <w:p w14:paraId="13D89D6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4 980 000</w:t>
            </w:r>
          </w:p>
        </w:tc>
        <w:tc>
          <w:tcPr>
            <w:tcW w:w="1531" w:type="dxa"/>
            <w:shd w:val="clear" w:color="000000" w:fill="D9E2F3"/>
            <w:noWrap/>
            <w:vAlign w:val="center"/>
          </w:tcPr>
          <w:p w14:paraId="781B0D2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5 480 000</w:t>
            </w:r>
          </w:p>
        </w:tc>
        <w:tc>
          <w:tcPr>
            <w:tcW w:w="1531" w:type="dxa"/>
            <w:shd w:val="clear" w:color="000000" w:fill="D9E2F3"/>
            <w:noWrap/>
            <w:vAlign w:val="center"/>
          </w:tcPr>
          <w:p w14:paraId="40D536E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6 030 000</w:t>
            </w:r>
          </w:p>
        </w:tc>
      </w:tr>
      <w:tr w:rsidR="00827D07" w:rsidRPr="00827D07" w14:paraId="530440A6" w14:textId="77777777" w:rsidTr="0029002B">
        <w:trPr>
          <w:trHeight w:val="397"/>
          <w:jc w:val="center"/>
        </w:trPr>
        <w:tc>
          <w:tcPr>
            <w:tcW w:w="2711" w:type="dxa"/>
            <w:shd w:val="clear" w:color="auto" w:fill="auto"/>
            <w:vAlign w:val="center"/>
          </w:tcPr>
          <w:p w14:paraId="0A868BF1"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kontaktní centra</w:t>
            </w:r>
          </w:p>
        </w:tc>
        <w:tc>
          <w:tcPr>
            <w:tcW w:w="1531" w:type="dxa"/>
            <w:shd w:val="clear" w:color="auto" w:fill="D9D9D9"/>
            <w:noWrap/>
            <w:vAlign w:val="center"/>
          </w:tcPr>
          <w:p w14:paraId="66B35A5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28 577 297</w:t>
            </w:r>
          </w:p>
        </w:tc>
        <w:tc>
          <w:tcPr>
            <w:tcW w:w="1531" w:type="dxa"/>
            <w:shd w:val="clear" w:color="auto" w:fill="D9D9D9"/>
            <w:noWrap/>
            <w:vAlign w:val="center"/>
          </w:tcPr>
          <w:p w14:paraId="099E9C5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18 594 677</w:t>
            </w:r>
          </w:p>
        </w:tc>
        <w:tc>
          <w:tcPr>
            <w:tcW w:w="1531" w:type="dxa"/>
            <w:shd w:val="clear" w:color="000000" w:fill="D9E2F3"/>
            <w:noWrap/>
            <w:vAlign w:val="center"/>
          </w:tcPr>
          <w:p w14:paraId="24E1A24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17 260 000</w:t>
            </w:r>
          </w:p>
        </w:tc>
        <w:tc>
          <w:tcPr>
            <w:tcW w:w="1531" w:type="dxa"/>
            <w:shd w:val="clear" w:color="000000" w:fill="D9E2F3"/>
            <w:noWrap/>
            <w:vAlign w:val="center"/>
          </w:tcPr>
          <w:p w14:paraId="7F1B7FB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18 990 000</w:t>
            </w:r>
          </w:p>
        </w:tc>
        <w:tc>
          <w:tcPr>
            <w:tcW w:w="1531" w:type="dxa"/>
            <w:shd w:val="clear" w:color="000000" w:fill="D9E2F3"/>
            <w:noWrap/>
            <w:vAlign w:val="center"/>
          </w:tcPr>
          <w:p w14:paraId="5CFF8E55"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20 890 000</w:t>
            </w:r>
          </w:p>
        </w:tc>
      </w:tr>
      <w:tr w:rsidR="00827D07" w:rsidRPr="00827D07" w14:paraId="455E4E0C" w14:textId="77777777" w:rsidTr="0029002B">
        <w:trPr>
          <w:trHeight w:val="397"/>
          <w:jc w:val="center"/>
        </w:trPr>
        <w:tc>
          <w:tcPr>
            <w:tcW w:w="2711" w:type="dxa"/>
            <w:shd w:val="clear" w:color="auto" w:fill="auto"/>
            <w:vAlign w:val="center"/>
          </w:tcPr>
          <w:p w14:paraId="6530FE1D"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krizová pomoc</w:t>
            </w:r>
          </w:p>
        </w:tc>
        <w:tc>
          <w:tcPr>
            <w:tcW w:w="1531" w:type="dxa"/>
            <w:shd w:val="clear" w:color="auto" w:fill="D9D9D9"/>
            <w:noWrap/>
            <w:vAlign w:val="center"/>
          </w:tcPr>
          <w:p w14:paraId="2391884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5 083 399</w:t>
            </w:r>
          </w:p>
        </w:tc>
        <w:tc>
          <w:tcPr>
            <w:tcW w:w="1531" w:type="dxa"/>
            <w:shd w:val="clear" w:color="auto" w:fill="D9D9D9"/>
            <w:noWrap/>
            <w:vAlign w:val="center"/>
          </w:tcPr>
          <w:p w14:paraId="2125312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5 082 399</w:t>
            </w:r>
          </w:p>
        </w:tc>
        <w:tc>
          <w:tcPr>
            <w:tcW w:w="1531" w:type="dxa"/>
            <w:shd w:val="clear" w:color="000000" w:fill="D9E2F3"/>
            <w:noWrap/>
            <w:vAlign w:val="center"/>
          </w:tcPr>
          <w:p w14:paraId="2ADAA11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11 020 000</w:t>
            </w:r>
          </w:p>
        </w:tc>
        <w:tc>
          <w:tcPr>
            <w:tcW w:w="1531" w:type="dxa"/>
            <w:shd w:val="clear" w:color="000000" w:fill="D9E2F3"/>
            <w:noWrap/>
            <w:vAlign w:val="center"/>
          </w:tcPr>
          <w:p w14:paraId="2062007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12 130 000</w:t>
            </w:r>
          </w:p>
        </w:tc>
        <w:tc>
          <w:tcPr>
            <w:tcW w:w="1531" w:type="dxa"/>
            <w:shd w:val="clear" w:color="000000" w:fill="D9E2F3"/>
            <w:noWrap/>
            <w:vAlign w:val="center"/>
          </w:tcPr>
          <w:p w14:paraId="6AB88F4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13 350 000</w:t>
            </w:r>
          </w:p>
        </w:tc>
      </w:tr>
      <w:tr w:rsidR="00827D07" w:rsidRPr="00827D07" w14:paraId="11505457" w14:textId="77777777" w:rsidTr="0029002B">
        <w:trPr>
          <w:trHeight w:val="397"/>
          <w:jc w:val="center"/>
        </w:trPr>
        <w:tc>
          <w:tcPr>
            <w:tcW w:w="2711" w:type="dxa"/>
            <w:shd w:val="clear" w:color="auto" w:fill="auto"/>
            <w:vAlign w:val="center"/>
          </w:tcPr>
          <w:p w14:paraId="4DE4EA5D"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lastRenderedPageBreak/>
              <w:t>nízkoprahová denní centra</w:t>
            </w:r>
          </w:p>
        </w:tc>
        <w:tc>
          <w:tcPr>
            <w:tcW w:w="1531" w:type="dxa"/>
            <w:shd w:val="clear" w:color="auto" w:fill="D9D9D9"/>
            <w:noWrap/>
            <w:vAlign w:val="center"/>
          </w:tcPr>
          <w:p w14:paraId="61FFE0FA"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32 273 266</w:t>
            </w:r>
          </w:p>
        </w:tc>
        <w:tc>
          <w:tcPr>
            <w:tcW w:w="1531" w:type="dxa"/>
            <w:shd w:val="clear" w:color="auto" w:fill="D9D9D9"/>
            <w:noWrap/>
            <w:vAlign w:val="center"/>
          </w:tcPr>
          <w:p w14:paraId="3066C5F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31 572 784</w:t>
            </w:r>
          </w:p>
        </w:tc>
        <w:tc>
          <w:tcPr>
            <w:tcW w:w="1531" w:type="dxa"/>
            <w:shd w:val="clear" w:color="000000" w:fill="D9E2F3"/>
            <w:noWrap/>
            <w:vAlign w:val="center"/>
          </w:tcPr>
          <w:p w14:paraId="71C4705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33 110 000</w:t>
            </w:r>
          </w:p>
        </w:tc>
        <w:tc>
          <w:tcPr>
            <w:tcW w:w="1531" w:type="dxa"/>
            <w:shd w:val="clear" w:color="000000" w:fill="D9E2F3"/>
            <w:noWrap/>
            <w:vAlign w:val="center"/>
          </w:tcPr>
          <w:p w14:paraId="18167F84"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36 430 000</w:t>
            </w:r>
          </w:p>
        </w:tc>
        <w:tc>
          <w:tcPr>
            <w:tcW w:w="1531" w:type="dxa"/>
            <w:shd w:val="clear" w:color="000000" w:fill="D9E2F3"/>
            <w:noWrap/>
            <w:vAlign w:val="center"/>
          </w:tcPr>
          <w:p w14:paraId="3226B09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40 080 000</w:t>
            </w:r>
          </w:p>
        </w:tc>
      </w:tr>
      <w:tr w:rsidR="00827D07" w:rsidRPr="00827D07" w14:paraId="7C1072AD" w14:textId="77777777" w:rsidTr="0029002B">
        <w:trPr>
          <w:trHeight w:val="397"/>
          <w:jc w:val="center"/>
        </w:trPr>
        <w:tc>
          <w:tcPr>
            <w:tcW w:w="2711" w:type="dxa"/>
            <w:shd w:val="clear" w:color="auto" w:fill="auto"/>
            <w:vAlign w:val="center"/>
          </w:tcPr>
          <w:p w14:paraId="51C040C8"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nízkoprahová zařízení pro děti a mládež</w:t>
            </w:r>
          </w:p>
        </w:tc>
        <w:tc>
          <w:tcPr>
            <w:tcW w:w="1531" w:type="dxa"/>
            <w:shd w:val="clear" w:color="auto" w:fill="D9D9D9"/>
            <w:noWrap/>
            <w:vAlign w:val="center"/>
          </w:tcPr>
          <w:p w14:paraId="578214D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58 507 922</w:t>
            </w:r>
          </w:p>
        </w:tc>
        <w:tc>
          <w:tcPr>
            <w:tcW w:w="1531" w:type="dxa"/>
            <w:shd w:val="clear" w:color="auto" w:fill="D9D9D9"/>
            <w:noWrap/>
            <w:vAlign w:val="center"/>
          </w:tcPr>
          <w:p w14:paraId="34657FC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53 819 955</w:t>
            </w:r>
          </w:p>
        </w:tc>
        <w:tc>
          <w:tcPr>
            <w:tcW w:w="1531" w:type="dxa"/>
            <w:shd w:val="clear" w:color="000000" w:fill="D9E2F3"/>
            <w:noWrap/>
            <w:vAlign w:val="center"/>
          </w:tcPr>
          <w:p w14:paraId="34E4A83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66 070 000</w:t>
            </w:r>
          </w:p>
        </w:tc>
        <w:tc>
          <w:tcPr>
            <w:tcW w:w="1531" w:type="dxa"/>
            <w:shd w:val="clear" w:color="000000" w:fill="D9E2F3"/>
            <w:noWrap/>
            <w:vAlign w:val="center"/>
          </w:tcPr>
          <w:p w14:paraId="4315865E"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72 680 000</w:t>
            </w:r>
          </w:p>
        </w:tc>
        <w:tc>
          <w:tcPr>
            <w:tcW w:w="1531" w:type="dxa"/>
            <w:shd w:val="clear" w:color="000000" w:fill="D9E2F3"/>
            <w:noWrap/>
            <w:vAlign w:val="center"/>
          </w:tcPr>
          <w:p w14:paraId="2BD095D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79 950 000</w:t>
            </w:r>
          </w:p>
        </w:tc>
      </w:tr>
      <w:tr w:rsidR="00827D07" w:rsidRPr="00827D07" w14:paraId="203C0A56" w14:textId="77777777" w:rsidTr="0029002B">
        <w:trPr>
          <w:trHeight w:val="397"/>
          <w:jc w:val="center"/>
        </w:trPr>
        <w:tc>
          <w:tcPr>
            <w:tcW w:w="2711" w:type="dxa"/>
            <w:shd w:val="clear" w:color="auto" w:fill="auto"/>
            <w:vAlign w:val="center"/>
          </w:tcPr>
          <w:p w14:paraId="1E0C4B70"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noclehárny</w:t>
            </w:r>
          </w:p>
        </w:tc>
        <w:tc>
          <w:tcPr>
            <w:tcW w:w="1531" w:type="dxa"/>
            <w:shd w:val="clear" w:color="auto" w:fill="D9D9D9"/>
            <w:noWrap/>
            <w:vAlign w:val="center"/>
          </w:tcPr>
          <w:p w14:paraId="58B6D37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21 845 468</w:t>
            </w:r>
          </w:p>
        </w:tc>
        <w:tc>
          <w:tcPr>
            <w:tcW w:w="1531" w:type="dxa"/>
            <w:shd w:val="clear" w:color="auto" w:fill="D9D9D9"/>
            <w:noWrap/>
            <w:vAlign w:val="center"/>
          </w:tcPr>
          <w:p w14:paraId="78DA620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19 500 386</w:t>
            </w:r>
          </w:p>
        </w:tc>
        <w:tc>
          <w:tcPr>
            <w:tcW w:w="1531" w:type="dxa"/>
            <w:shd w:val="clear" w:color="000000" w:fill="D9E2F3"/>
            <w:noWrap/>
            <w:vAlign w:val="center"/>
          </w:tcPr>
          <w:p w14:paraId="6CEF876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24 660 000</w:t>
            </w:r>
          </w:p>
        </w:tc>
        <w:tc>
          <w:tcPr>
            <w:tcW w:w="1531" w:type="dxa"/>
            <w:shd w:val="clear" w:color="000000" w:fill="D9E2F3"/>
            <w:noWrap/>
            <w:vAlign w:val="center"/>
          </w:tcPr>
          <w:p w14:paraId="3C2B353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27 130 000</w:t>
            </w:r>
          </w:p>
        </w:tc>
        <w:tc>
          <w:tcPr>
            <w:tcW w:w="1531" w:type="dxa"/>
            <w:shd w:val="clear" w:color="000000" w:fill="D9E2F3"/>
            <w:noWrap/>
            <w:vAlign w:val="center"/>
          </w:tcPr>
          <w:p w14:paraId="60A4757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29 850 000</w:t>
            </w:r>
          </w:p>
        </w:tc>
      </w:tr>
      <w:tr w:rsidR="00827D07" w:rsidRPr="00827D07" w14:paraId="4AFF59E2" w14:textId="77777777" w:rsidTr="0029002B">
        <w:trPr>
          <w:trHeight w:val="397"/>
          <w:jc w:val="center"/>
        </w:trPr>
        <w:tc>
          <w:tcPr>
            <w:tcW w:w="2711" w:type="dxa"/>
            <w:shd w:val="clear" w:color="auto" w:fill="auto"/>
            <w:vAlign w:val="center"/>
          </w:tcPr>
          <w:p w14:paraId="3A655B7C"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odborné sociální poradenství</w:t>
            </w:r>
          </w:p>
        </w:tc>
        <w:tc>
          <w:tcPr>
            <w:tcW w:w="1531" w:type="dxa"/>
            <w:shd w:val="clear" w:color="auto" w:fill="D9D9D9"/>
            <w:noWrap/>
            <w:vAlign w:val="center"/>
          </w:tcPr>
          <w:p w14:paraId="5D73808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85 574 036</w:t>
            </w:r>
          </w:p>
        </w:tc>
        <w:tc>
          <w:tcPr>
            <w:tcW w:w="1531" w:type="dxa"/>
            <w:shd w:val="clear" w:color="auto" w:fill="D9D9D9"/>
            <w:noWrap/>
            <w:vAlign w:val="center"/>
          </w:tcPr>
          <w:p w14:paraId="3315DA9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73 513 675</w:t>
            </w:r>
          </w:p>
        </w:tc>
        <w:tc>
          <w:tcPr>
            <w:tcW w:w="1531" w:type="dxa"/>
            <w:shd w:val="clear" w:color="000000" w:fill="D9E2F3"/>
            <w:noWrap/>
            <w:vAlign w:val="center"/>
          </w:tcPr>
          <w:p w14:paraId="6870754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88 370 000</w:t>
            </w:r>
          </w:p>
        </w:tc>
        <w:tc>
          <w:tcPr>
            <w:tcW w:w="1531" w:type="dxa"/>
            <w:shd w:val="clear" w:color="000000" w:fill="D9E2F3"/>
            <w:noWrap/>
            <w:vAlign w:val="center"/>
          </w:tcPr>
          <w:p w14:paraId="3D50002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97 210 000</w:t>
            </w:r>
          </w:p>
        </w:tc>
        <w:tc>
          <w:tcPr>
            <w:tcW w:w="1531" w:type="dxa"/>
            <w:shd w:val="clear" w:color="000000" w:fill="D9E2F3"/>
            <w:noWrap/>
            <w:vAlign w:val="center"/>
          </w:tcPr>
          <w:p w14:paraId="4121DBF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106 940 000</w:t>
            </w:r>
          </w:p>
        </w:tc>
      </w:tr>
      <w:tr w:rsidR="00827D07" w:rsidRPr="00827D07" w14:paraId="66FFD349" w14:textId="77777777" w:rsidTr="0029002B">
        <w:trPr>
          <w:trHeight w:val="397"/>
          <w:jc w:val="center"/>
        </w:trPr>
        <w:tc>
          <w:tcPr>
            <w:tcW w:w="2711" w:type="dxa"/>
            <w:shd w:val="clear" w:color="auto" w:fill="auto"/>
            <w:vAlign w:val="center"/>
          </w:tcPr>
          <w:p w14:paraId="412808D2"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odlehčovací služby</w:t>
            </w:r>
          </w:p>
        </w:tc>
        <w:tc>
          <w:tcPr>
            <w:tcW w:w="1531" w:type="dxa"/>
            <w:shd w:val="clear" w:color="auto" w:fill="D9D9D9"/>
            <w:noWrap/>
            <w:vAlign w:val="center"/>
          </w:tcPr>
          <w:p w14:paraId="37E7325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121 853 828</w:t>
            </w:r>
          </w:p>
        </w:tc>
        <w:tc>
          <w:tcPr>
            <w:tcW w:w="1531" w:type="dxa"/>
            <w:shd w:val="clear" w:color="auto" w:fill="D9D9D9"/>
            <w:noWrap/>
            <w:vAlign w:val="center"/>
          </w:tcPr>
          <w:p w14:paraId="3B82E31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89 924 143</w:t>
            </w:r>
          </w:p>
        </w:tc>
        <w:tc>
          <w:tcPr>
            <w:tcW w:w="1531" w:type="dxa"/>
            <w:shd w:val="clear" w:color="000000" w:fill="D9E2F3"/>
            <w:noWrap/>
            <w:vAlign w:val="center"/>
          </w:tcPr>
          <w:p w14:paraId="274F892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106 660 000</w:t>
            </w:r>
          </w:p>
        </w:tc>
        <w:tc>
          <w:tcPr>
            <w:tcW w:w="1531" w:type="dxa"/>
            <w:shd w:val="clear" w:color="000000" w:fill="D9E2F3"/>
            <w:noWrap/>
            <w:vAlign w:val="center"/>
          </w:tcPr>
          <w:p w14:paraId="314D912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117 330 000</w:t>
            </w:r>
          </w:p>
        </w:tc>
        <w:tc>
          <w:tcPr>
            <w:tcW w:w="1531" w:type="dxa"/>
            <w:shd w:val="clear" w:color="000000" w:fill="D9E2F3"/>
            <w:noWrap/>
            <w:vAlign w:val="center"/>
          </w:tcPr>
          <w:p w14:paraId="07C68C44"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129 070 000</w:t>
            </w:r>
          </w:p>
        </w:tc>
      </w:tr>
      <w:tr w:rsidR="00827D07" w:rsidRPr="00827D07" w14:paraId="4F633680" w14:textId="77777777" w:rsidTr="0029002B">
        <w:trPr>
          <w:trHeight w:val="397"/>
          <w:jc w:val="center"/>
        </w:trPr>
        <w:tc>
          <w:tcPr>
            <w:tcW w:w="2711" w:type="dxa"/>
            <w:shd w:val="clear" w:color="auto" w:fill="auto"/>
            <w:vAlign w:val="center"/>
          </w:tcPr>
          <w:p w14:paraId="7F597567"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osobní asistence</w:t>
            </w:r>
          </w:p>
        </w:tc>
        <w:tc>
          <w:tcPr>
            <w:tcW w:w="1531" w:type="dxa"/>
            <w:shd w:val="clear" w:color="auto" w:fill="D9D9D9"/>
            <w:noWrap/>
            <w:vAlign w:val="center"/>
          </w:tcPr>
          <w:p w14:paraId="25F9E11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97 224 128</w:t>
            </w:r>
          </w:p>
        </w:tc>
        <w:tc>
          <w:tcPr>
            <w:tcW w:w="1531" w:type="dxa"/>
            <w:shd w:val="clear" w:color="auto" w:fill="D9D9D9"/>
            <w:noWrap/>
            <w:vAlign w:val="center"/>
          </w:tcPr>
          <w:p w14:paraId="7E3DD03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72 824 258</w:t>
            </w:r>
          </w:p>
        </w:tc>
        <w:tc>
          <w:tcPr>
            <w:tcW w:w="1531" w:type="dxa"/>
            <w:shd w:val="clear" w:color="000000" w:fill="D9E2F3"/>
            <w:noWrap/>
            <w:vAlign w:val="center"/>
          </w:tcPr>
          <w:p w14:paraId="24693D5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83 590 000</w:t>
            </w:r>
          </w:p>
        </w:tc>
        <w:tc>
          <w:tcPr>
            <w:tcW w:w="1531" w:type="dxa"/>
            <w:shd w:val="clear" w:color="000000" w:fill="D9E2F3"/>
            <w:noWrap/>
            <w:vAlign w:val="center"/>
          </w:tcPr>
          <w:p w14:paraId="74634CE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91 950 000</w:t>
            </w:r>
          </w:p>
        </w:tc>
        <w:tc>
          <w:tcPr>
            <w:tcW w:w="1531" w:type="dxa"/>
            <w:shd w:val="clear" w:color="000000" w:fill="D9E2F3"/>
            <w:noWrap/>
            <w:vAlign w:val="center"/>
          </w:tcPr>
          <w:p w14:paraId="208953DE"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101 150 000</w:t>
            </w:r>
          </w:p>
        </w:tc>
      </w:tr>
      <w:tr w:rsidR="00827D07" w:rsidRPr="00827D07" w14:paraId="0D0DC4EF" w14:textId="77777777" w:rsidTr="0029002B">
        <w:trPr>
          <w:trHeight w:val="397"/>
          <w:jc w:val="center"/>
        </w:trPr>
        <w:tc>
          <w:tcPr>
            <w:tcW w:w="2711" w:type="dxa"/>
            <w:shd w:val="clear" w:color="auto" w:fill="auto"/>
            <w:vAlign w:val="center"/>
          </w:tcPr>
          <w:p w14:paraId="2C2EB7F3"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pečovatelská služba</w:t>
            </w:r>
          </w:p>
        </w:tc>
        <w:tc>
          <w:tcPr>
            <w:tcW w:w="1531" w:type="dxa"/>
            <w:shd w:val="clear" w:color="auto" w:fill="D9D9D9"/>
            <w:noWrap/>
            <w:vAlign w:val="center"/>
          </w:tcPr>
          <w:p w14:paraId="1753AAE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442 234 223</w:t>
            </w:r>
          </w:p>
        </w:tc>
        <w:tc>
          <w:tcPr>
            <w:tcW w:w="1531" w:type="dxa"/>
            <w:shd w:val="clear" w:color="auto" w:fill="D9D9D9"/>
            <w:noWrap/>
            <w:vAlign w:val="center"/>
          </w:tcPr>
          <w:p w14:paraId="7FCF967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309 005 438</w:t>
            </w:r>
          </w:p>
        </w:tc>
        <w:tc>
          <w:tcPr>
            <w:tcW w:w="1531" w:type="dxa"/>
            <w:shd w:val="clear" w:color="000000" w:fill="D9E2F3"/>
            <w:noWrap/>
            <w:vAlign w:val="center"/>
          </w:tcPr>
          <w:p w14:paraId="59CD12F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339 500 000</w:t>
            </w:r>
          </w:p>
        </w:tc>
        <w:tc>
          <w:tcPr>
            <w:tcW w:w="1531" w:type="dxa"/>
            <w:shd w:val="clear" w:color="000000" w:fill="D9E2F3"/>
            <w:noWrap/>
            <w:vAlign w:val="center"/>
          </w:tcPr>
          <w:p w14:paraId="2B5CD084"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373 450 000</w:t>
            </w:r>
          </w:p>
        </w:tc>
        <w:tc>
          <w:tcPr>
            <w:tcW w:w="1531" w:type="dxa"/>
            <w:shd w:val="clear" w:color="000000" w:fill="D9E2F3"/>
            <w:noWrap/>
            <w:vAlign w:val="center"/>
          </w:tcPr>
          <w:p w14:paraId="22B8226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410 800 000</w:t>
            </w:r>
          </w:p>
        </w:tc>
      </w:tr>
      <w:tr w:rsidR="00827D07" w:rsidRPr="00827D07" w14:paraId="7E5AC26D" w14:textId="77777777" w:rsidTr="0029002B">
        <w:trPr>
          <w:trHeight w:val="397"/>
          <w:jc w:val="center"/>
        </w:trPr>
        <w:tc>
          <w:tcPr>
            <w:tcW w:w="2711" w:type="dxa"/>
            <w:shd w:val="clear" w:color="auto" w:fill="auto"/>
            <w:vAlign w:val="center"/>
          </w:tcPr>
          <w:p w14:paraId="6448B8AC"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podpora samostatného bydlení</w:t>
            </w:r>
          </w:p>
        </w:tc>
        <w:tc>
          <w:tcPr>
            <w:tcW w:w="1531" w:type="dxa"/>
            <w:shd w:val="clear" w:color="auto" w:fill="D9D9D9"/>
            <w:noWrap/>
            <w:vAlign w:val="center"/>
          </w:tcPr>
          <w:p w14:paraId="54E192F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6 087 742</w:t>
            </w:r>
          </w:p>
        </w:tc>
        <w:tc>
          <w:tcPr>
            <w:tcW w:w="1531" w:type="dxa"/>
            <w:shd w:val="clear" w:color="auto" w:fill="D9D9D9"/>
            <w:noWrap/>
            <w:vAlign w:val="center"/>
          </w:tcPr>
          <w:p w14:paraId="6CD12BC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4 800 613</w:t>
            </w:r>
          </w:p>
        </w:tc>
        <w:tc>
          <w:tcPr>
            <w:tcW w:w="1531" w:type="dxa"/>
            <w:shd w:val="clear" w:color="000000" w:fill="D9E2F3"/>
            <w:noWrap/>
            <w:vAlign w:val="center"/>
          </w:tcPr>
          <w:p w14:paraId="2F898E1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4 760 000</w:t>
            </w:r>
          </w:p>
        </w:tc>
        <w:tc>
          <w:tcPr>
            <w:tcW w:w="1531" w:type="dxa"/>
            <w:shd w:val="clear" w:color="000000" w:fill="D9E2F3"/>
            <w:noWrap/>
            <w:vAlign w:val="center"/>
          </w:tcPr>
          <w:p w14:paraId="4B1DF57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5 240 000</w:t>
            </w:r>
          </w:p>
        </w:tc>
        <w:tc>
          <w:tcPr>
            <w:tcW w:w="1531" w:type="dxa"/>
            <w:shd w:val="clear" w:color="000000" w:fill="D9E2F3"/>
            <w:noWrap/>
            <w:vAlign w:val="center"/>
          </w:tcPr>
          <w:p w14:paraId="575F4EB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5 770 000</w:t>
            </w:r>
          </w:p>
        </w:tc>
      </w:tr>
      <w:tr w:rsidR="00827D07" w:rsidRPr="00827D07" w14:paraId="390E5EEE" w14:textId="77777777" w:rsidTr="0029002B">
        <w:trPr>
          <w:trHeight w:val="397"/>
          <w:jc w:val="center"/>
        </w:trPr>
        <w:tc>
          <w:tcPr>
            <w:tcW w:w="2711" w:type="dxa"/>
            <w:shd w:val="clear" w:color="auto" w:fill="auto"/>
            <w:vAlign w:val="center"/>
          </w:tcPr>
          <w:p w14:paraId="7AE1BF8A"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raná péče</w:t>
            </w:r>
          </w:p>
        </w:tc>
        <w:tc>
          <w:tcPr>
            <w:tcW w:w="1531" w:type="dxa"/>
            <w:shd w:val="clear" w:color="auto" w:fill="D9D9D9"/>
            <w:noWrap/>
            <w:vAlign w:val="center"/>
          </w:tcPr>
          <w:p w14:paraId="417DF95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37 277 000</w:t>
            </w:r>
          </w:p>
        </w:tc>
        <w:tc>
          <w:tcPr>
            <w:tcW w:w="1531" w:type="dxa"/>
            <w:shd w:val="clear" w:color="auto" w:fill="D9D9D9"/>
            <w:noWrap/>
            <w:vAlign w:val="center"/>
          </w:tcPr>
          <w:p w14:paraId="18D40B6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28 701 000</w:t>
            </w:r>
          </w:p>
        </w:tc>
        <w:tc>
          <w:tcPr>
            <w:tcW w:w="1531" w:type="dxa"/>
            <w:shd w:val="clear" w:color="000000" w:fill="D9E2F3"/>
            <w:noWrap/>
            <w:vAlign w:val="center"/>
          </w:tcPr>
          <w:p w14:paraId="19C52A4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39 800 000</w:t>
            </w:r>
          </w:p>
        </w:tc>
        <w:tc>
          <w:tcPr>
            <w:tcW w:w="1531" w:type="dxa"/>
            <w:shd w:val="clear" w:color="000000" w:fill="D9E2F3"/>
            <w:noWrap/>
            <w:vAlign w:val="center"/>
          </w:tcPr>
          <w:p w14:paraId="3BF2EB49"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43 780 000</w:t>
            </w:r>
          </w:p>
        </w:tc>
        <w:tc>
          <w:tcPr>
            <w:tcW w:w="1531" w:type="dxa"/>
            <w:shd w:val="clear" w:color="000000" w:fill="D9E2F3"/>
            <w:noWrap/>
            <w:vAlign w:val="center"/>
          </w:tcPr>
          <w:p w14:paraId="71392A0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48 160 000</w:t>
            </w:r>
          </w:p>
        </w:tc>
      </w:tr>
      <w:tr w:rsidR="00827D07" w:rsidRPr="00827D07" w14:paraId="4679EA5B" w14:textId="77777777" w:rsidTr="0029002B">
        <w:trPr>
          <w:trHeight w:val="397"/>
          <w:jc w:val="center"/>
        </w:trPr>
        <w:tc>
          <w:tcPr>
            <w:tcW w:w="2711" w:type="dxa"/>
            <w:shd w:val="clear" w:color="auto" w:fill="auto"/>
            <w:vAlign w:val="center"/>
          </w:tcPr>
          <w:p w14:paraId="775CAB32"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služby následné péče</w:t>
            </w:r>
          </w:p>
        </w:tc>
        <w:tc>
          <w:tcPr>
            <w:tcW w:w="1531" w:type="dxa"/>
            <w:shd w:val="clear" w:color="auto" w:fill="D9D9D9"/>
            <w:noWrap/>
            <w:vAlign w:val="center"/>
          </w:tcPr>
          <w:p w14:paraId="39209C1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6 815 736</w:t>
            </w:r>
          </w:p>
        </w:tc>
        <w:tc>
          <w:tcPr>
            <w:tcW w:w="1531" w:type="dxa"/>
            <w:shd w:val="clear" w:color="auto" w:fill="D9D9D9"/>
            <w:noWrap/>
            <w:vAlign w:val="center"/>
          </w:tcPr>
          <w:p w14:paraId="3311132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5 463 736</w:t>
            </w:r>
          </w:p>
        </w:tc>
        <w:tc>
          <w:tcPr>
            <w:tcW w:w="1531" w:type="dxa"/>
            <w:shd w:val="clear" w:color="000000" w:fill="D9E2F3"/>
            <w:noWrap/>
            <w:vAlign w:val="center"/>
          </w:tcPr>
          <w:p w14:paraId="3119394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5 050 000</w:t>
            </w:r>
          </w:p>
        </w:tc>
        <w:tc>
          <w:tcPr>
            <w:tcW w:w="1531" w:type="dxa"/>
            <w:shd w:val="clear" w:color="000000" w:fill="D9E2F3"/>
            <w:noWrap/>
            <w:vAlign w:val="center"/>
          </w:tcPr>
          <w:p w14:paraId="2FB73EC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5 560 000</w:t>
            </w:r>
          </w:p>
        </w:tc>
        <w:tc>
          <w:tcPr>
            <w:tcW w:w="1531" w:type="dxa"/>
            <w:shd w:val="clear" w:color="000000" w:fill="D9E2F3"/>
            <w:noWrap/>
            <w:vAlign w:val="center"/>
          </w:tcPr>
          <w:p w14:paraId="23EFED9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6 120 000</w:t>
            </w:r>
          </w:p>
        </w:tc>
      </w:tr>
      <w:tr w:rsidR="00827D07" w:rsidRPr="00827D07" w14:paraId="1878EC8F" w14:textId="77777777" w:rsidTr="0029002B">
        <w:trPr>
          <w:trHeight w:val="397"/>
          <w:jc w:val="center"/>
        </w:trPr>
        <w:tc>
          <w:tcPr>
            <w:tcW w:w="2711" w:type="dxa"/>
            <w:shd w:val="clear" w:color="auto" w:fill="auto"/>
            <w:vAlign w:val="center"/>
          </w:tcPr>
          <w:p w14:paraId="4E20899D"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sociálně aktivizační služby pro rodiny s dětmi</w:t>
            </w:r>
          </w:p>
        </w:tc>
        <w:tc>
          <w:tcPr>
            <w:tcW w:w="1531" w:type="dxa"/>
            <w:shd w:val="clear" w:color="auto" w:fill="D9D9D9"/>
            <w:noWrap/>
            <w:vAlign w:val="center"/>
          </w:tcPr>
          <w:p w14:paraId="514C1CB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76 885 667</w:t>
            </w:r>
          </w:p>
        </w:tc>
        <w:tc>
          <w:tcPr>
            <w:tcW w:w="1531" w:type="dxa"/>
            <w:shd w:val="clear" w:color="auto" w:fill="D9D9D9"/>
            <w:noWrap/>
            <w:vAlign w:val="center"/>
          </w:tcPr>
          <w:p w14:paraId="6FF723D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68 456 292</w:t>
            </w:r>
          </w:p>
        </w:tc>
        <w:tc>
          <w:tcPr>
            <w:tcW w:w="1531" w:type="dxa"/>
            <w:shd w:val="clear" w:color="000000" w:fill="D9E2F3"/>
            <w:noWrap/>
            <w:vAlign w:val="center"/>
          </w:tcPr>
          <w:p w14:paraId="7726331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80 410 000</w:t>
            </w:r>
          </w:p>
        </w:tc>
        <w:tc>
          <w:tcPr>
            <w:tcW w:w="1531" w:type="dxa"/>
            <w:shd w:val="clear" w:color="000000" w:fill="D9E2F3"/>
            <w:noWrap/>
            <w:vAlign w:val="center"/>
          </w:tcPr>
          <w:p w14:paraId="0F82C05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88 460 000</w:t>
            </w:r>
          </w:p>
        </w:tc>
        <w:tc>
          <w:tcPr>
            <w:tcW w:w="1531" w:type="dxa"/>
            <w:shd w:val="clear" w:color="000000" w:fill="D9E2F3"/>
            <w:noWrap/>
            <w:vAlign w:val="center"/>
          </w:tcPr>
          <w:p w14:paraId="2618978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97 310 000</w:t>
            </w:r>
          </w:p>
        </w:tc>
      </w:tr>
      <w:tr w:rsidR="00827D07" w:rsidRPr="00827D07" w14:paraId="550AC215" w14:textId="77777777" w:rsidTr="0029002B">
        <w:trPr>
          <w:trHeight w:val="397"/>
          <w:jc w:val="center"/>
        </w:trPr>
        <w:tc>
          <w:tcPr>
            <w:tcW w:w="2711" w:type="dxa"/>
            <w:shd w:val="clear" w:color="auto" w:fill="auto"/>
            <w:vAlign w:val="center"/>
          </w:tcPr>
          <w:p w14:paraId="7217E25E"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sociálně aktivizační služby pro seniory a osoby se zdravotním postižením</w:t>
            </w:r>
          </w:p>
        </w:tc>
        <w:tc>
          <w:tcPr>
            <w:tcW w:w="1531" w:type="dxa"/>
            <w:shd w:val="clear" w:color="auto" w:fill="D9D9D9"/>
            <w:noWrap/>
            <w:vAlign w:val="center"/>
          </w:tcPr>
          <w:p w14:paraId="195427B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18 929 100</w:t>
            </w:r>
          </w:p>
        </w:tc>
        <w:tc>
          <w:tcPr>
            <w:tcW w:w="1531" w:type="dxa"/>
            <w:shd w:val="clear" w:color="auto" w:fill="D9D9D9"/>
            <w:noWrap/>
            <w:vAlign w:val="center"/>
          </w:tcPr>
          <w:p w14:paraId="4C852D3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17 333 100</w:t>
            </w:r>
          </w:p>
        </w:tc>
        <w:tc>
          <w:tcPr>
            <w:tcW w:w="1531" w:type="dxa"/>
            <w:shd w:val="clear" w:color="000000" w:fill="D9E2F3"/>
            <w:noWrap/>
            <w:vAlign w:val="center"/>
          </w:tcPr>
          <w:p w14:paraId="2C25641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18 960 000</w:t>
            </w:r>
          </w:p>
        </w:tc>
        <w:tc>
          <w:tcPr>
            <w:tcW w:w="1531" w:type="dxa"/>
            <w:shd w:val="clear" w:color="000000" w:fill="D9E2F3"/>
            <w:noWrap/>
            <w:vAlign w:val="center"/>
          </w:tcPr>
          <w:p w14:paraId="317E760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20 860 000</w:t>
            </w:r>
          </w:p>
        </w:tc>
        <w:tc>
          <w:tcPr>
            <w:tcW w:w="1531" w:type="dxa"/>
            <w:shd w:val="clear" w:color="000000" w:fill="D9E2F3"/>
            <w:noWrap/>
            <w:vAlign w:val="center"/>
          </w:tcPr>
          <w:p w14:paraId="5B833EB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22 950 000</w:t>
            </w:r>
          </w:p>
        </w:tc>
      </w:tr>
      <w:tr w:rsidR="00827D07" w:rsidRPr="00827D07" w14:paraId="5DA2D1E9" w14:textId="77777777" w:rsidTr="0029002B">
        <w:trPr>
          <w:trHeight w:val="397"/>
          <w:jc w:val="center"/>
        </w:trPr>
        <w:tc>
          <w:tcPr>
            <w:tcW w:w="2711" w:type="dxa"/>
            <w:shd w:val="clear" w:color="auto" w:fill="auto"/>
            <w:vAlign w:val="center"/>
          </w:tcPr>
          <w:p w14:paraId="18C48F46"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sociálně terapeutické dílny</w:t>
            </w:r>
          </w:p>
        </w:tc>
        <w:tc>
          <w:tcPr>
            <w:tcW w:w="1531" w:type="dxa"/>
            <w:shd w:val="clear" w:color="auto" w:fill="D9D9D9"/>
            <w:noWrap/>
            <w:vAlign w:val="center"/>
          </w:tcPr>
          <w:p w14:paraId="47B93CA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17 829 966</w:t>
            </w:r>
          </w:p>
        </w:tc>
        <w:tc>
          <w:tcPr>
            <w:tcW w:w="1531" w:type="dxa"/>
            <w:shd w:val="clear" w:color="auto" w:fill="D9D9D9"/>
            <w:noWrap/>
            <w:vAlign w:val="center"/>
          </w:tcPr>
          <w:p w14:paraId="2857E24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17 429 066</w:t>
            </w:r>
          </w:p>
        </w:tc>
        <w:tc>
          <w:tcPr>
            <w:tcW w:w="1531" w:type="dxa"/>
            <w:shd w:val="clear" w:color="000000" w:fill="D9E2F3"/>
            <w:noWrap/>
            <w:vAlign w:val="center"/>
          </w:tcPr>
          <w:p w14:paraId="4E9085F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18 390 000</w:t>
            </w:r>
          </w:p>
        </w:tc>
        <w:tc>
          <w:tcPr>
            <w:tcW w:w="1531" w:type="dxa"/>
            <w:shd w:val="clear" w:color="000000" w:fill="D9E2F3"/>
            <w:noWrap/>
            <w:vAlign w:val="center"/>
          </w:tcPr>
          <w:p w14:paraId="196F920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20 230 000</w:t>
            </w:r>
          </w:p>
        </w:tc>
        <w:tc>
          <w:tcPr>
            <w:tcW w:w="1531" w:type="dxa"/>
            <w:shd w:val="clear" w:color="000000" w:fill="D9E2F3"/>
            <w:noWrap/>
            <w:vAlign w:val="center"/>
          </w:tcPr>
          <w:p w14:paraId="684296D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22 260 000</w:t>
            </w:r>
          </w:p>
        </w:tc>
      </w:tr>
      <w:tr w:rsidR="00827D07" w:rsidRPr="00827D07" w14:paraId="08BD14B5" w14:textId="77777777" w:rsidTr="0029002B">
        <w:trPr>
          <w:trHeight w:val="397"/>
          <w:jc w:val="center"/>
        </w:trPr>
        <w:tc>
          <w:tcPr>
            <w:tcW w:w="2711" w:type="dxa"/>
            <w:shd w:val="clear" w:color="auto" w:fill="auto"/>
            <w:vAlign w:val="center"/>
          </w:tcPr>
          <w:p w14:paraId="4A5BBCDF"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sociální rehabilitace</w:t>
            </w:r>
          </w:p>
        </w:tc>
        <w:tc>
          <w:tcPr>
            <w:tcW w:w="1531" w:type="dxa"/>
            <w:shd w:val="clear" w:color="auto" w:fill="D9D9D9"/>
            <w:noWrap/>
            <w:vAlign w:val="center"/>
          </w:tcPr>
          <w:p w14:paraId="3C69A01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98 486 355</w:t>
            </w:r>
          </w:p>
        </w:tc>
        <w:tc>
          <w:tcPr>
            <w:tcW w:w="1531" w:type="dxa"/>
            <w:shd w:val="clear" w:color="auto" w:fill="D9D9D9"/>
            <w:noWrap/>
            <w:vAlign w:val="center"/>
          </w:tcPr>
          <w:p w14:paraId="3B2E529D"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87 954 935</w:t>
            </w:r>
          </w:p>
        </w:tc>
        <w:tc>
          <w:tcPr>
            <w:tcW w:w="1531" w:type="dxa"/>
            <w:shd w:val="clear" w:color="000000" w:fill="D9E2F3"/>
            <w:noWrap/>
            <w:vAlign w:val="center"/>
          </w:tcPr>
          <w:p w14:paraId="7B2431D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109 940 000</w:t>
            </w:r>
          </w:p>
        </w:tc>
        <w:tc>
          <w:tcPr>
            <w:tcW w:w="1531" w:type="dxa"/>
            <w:shd w:val="clear" w:color="000000" w:fill="D9E2F3"/>
            <w:noWrap/>
            <w:vAlign w:val="center"/>
          </w:tcPr>
          <w:p w14:paraId="3698F905"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120 940 000</w:t>
            </w:r>
          </w:p>
        </w:tc>
        <w:tc>
          <w:tcPr>
            <w:tcW w:w="1531" w:type="dxa"/>
            <w:shd w:val="clear" w:color="000000" w:fill="D9E2F3"/>
            <w:noWrap/>
            <w:vAlign w:val="center"/>
          </w:tcPr>
          <w:p w14:paraId="25960EA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133 040 000</w:t>
            </w:r>
          </w:p>
        </w:tc>
      </w:tr>
      <w:tr w:rsidR="00827D07" w:rsidRPr="00827D07" w14:paraId="1E329BF4" w14:textId="77777777" w:rsidTr="0029002B">
        <w:trPr>
          <w:trHeight w:val="397"/>
          <w:jc w:val="center"/>
        </w:trPr>
        <w:tc>
          <w:tcPr>
            <w:tcW w:w="2711" w:type="dxa"/>
            <w:shd w:val="clear" w:color="auto" w:fill="auto"/>
            <w:vAlign w:val="center"/>
          </w:tcPr>
          <w:p w14:paraId="58D016C7"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sociální služby poskytované ve zdravotnických zařízeních lůžkové péče</w:t>
            </w:r>
          </w:p>
        </w:tc>
        <w:tc>
          <w:tcPr>
            <w:tcW w:w="1531" w:type="dxa"/>
            <w:shd w:val="clear" w:color="auto" w:fill="D9D9D9"/>
            <w:noWrap/>
            <w:vAlign w:val="center"/>
          </w:tcPr>
          <w:p w14:paraId="4206C4E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59 119 045</w:t>
            </w:r>
          </w:p>
        </w:tc>
        <w:tc>
          <w:tcPr>
            <w:tcW w:w="1531" w:type="dxa"/>
            <w:shd w:val="clear" w:color="auto" w:fill="D9D9D9"/>
            <w:noWrap/>
            <w:vAlign w:val="center"/>
          </w:tcPr>
          <w:p w14:paraId="18BBDDD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24 811 703</w:t>
            </w:r>
          </w:p>
        </w:tc>
        <w:tc>
          <w:tcPr>
            <w:tcW w:w="1531" w:type="dxa"/>
            <w:shd w:val="clear" w:color="000000" w:fill="D9E2F3"/>
            <w:noWrap/>
            <w:vAlign w:val="center"/>
          </w:tcPr>
          <w:p w14:paraId="7A3AE68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26 840 000</w:t>
            </w:r>
          </w:p>
        </w:tc>
        <w:tc>
          <w:tcPr>
            <w:tcW w:w="1531" w:type="dxa"/>
            <w:shd w:val="clear" w:color="000000" w:fill="D9E2F3"/>
            <w:noWrap/>
            <w:vAlign w:val="center"/>
          </w:tcPr>
          <w:p w14:paraId="40AAF6A7"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29 530 000</w:t>
            </w:r>
          </w:p>
        </w:tc>
        <w:tc>
          <w:tcPr>
            <w:tcW w:w="1531" w:type="dxa"/>
            <w:shd w:val="clear" w:color="000000" w:fill="D9E2F3"/>
            <w:noWrap/>
            <w:vAlign w:val="center"/>
          </w:tcPr>
          <w:p w14:paraId="79C5394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32 490 000</w:t>
            </w:r>
          </w:p>
        </w:tc>
      </w:tr>
      <w:tr w:rsidR="00827D07" w:rsidRPr="00827D07" w14:paraId="3F9FEE56" w14:textId="77777777" w:rsidTr="0029002B">
        <w:trPr>
          <w:trHeight w:val="397"/>
          <w:jc w:val="center"/>
        </w:trPr>
        <w:tc>
          <w:tcPr>
            <w:tcW w:w="2711" w:type="dxa"/>
            <w:shd w:val="clear" w:color="auto" w:fill="auto"/>
            <w:vAlign w:val="center"/>
          </w:tcPr>
          <w:p w14:paraId="1695A69A"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telefonická krizová pomoc</w:t>
            </w:r>
          </w:p>
        </w:tc>
        <w:tc>
          <w:tcPr>
            <w:tcW w:w="1531" w:type="dxa"/>
            <w:shd w:val="clear" w:color="auto" w:fill="D9D9D9"/>
            <w:noWrap/>
            <w:vAlign w:val="center"/>
          </w:tcPr>
          <w:p w14:paraId="062515F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4 940 000</w:t>
            </w:r>
          </w:p>
        </w:tc>
        <w:tc>
          <w:tcPr>
            <w:tcW w:w="1531" w:type="dxa"/>
            <w:shd w:val="clear" w:color="auto" w:fill="D9D9D9"/>
            <w:noWrap/>
            <w:vAlign w:val="center"/>
          </w:tcPr>
          <w:p w14:paraId="57C7C100"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4 700 000</w:t>
            </w:r>
          </w:p>
        </w:tc>
        <w:tc>
          <w:tcPr>
            <w:tcW w:w="1531" w:type="dxa"/>
            <w:shd w:val="clear" w:color="000000" w:fill="D9E2F3"/>
            <w:noWrap/>
            <w:vAlign w:val="center"/>
          </w:tcPr>
          <w:p w14:paraId="2543FFE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5 190 000</w:t>
            </w:r>
          </w:p>
        </w:tc>
        <w:tc>
          <w:tcPr>
            <w:tcW w:w="1531" w:type="dxa"/>
            <w:shd w:val="clear" w:color="000000" w:fill="D9E2F3"/>
            <w:noWrap/>
            <w:vAlign w:val="center"/>
          </w:tcPr>
          <w:p w14:paraId="3CBD382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5 710 000</w:t>
            </w:r>
          </w:p>
        </w:tc>
        <w:tc>
          <w:tcPr>
            <w:tcW w:w="1531" w:type="dxa"/>
            <w:shd w:val="clear" w:color="000000" w:fill="D9E2F3"/>
            <w:noWrap/>
            <w:vAlign w:val="center"/>
          </w:tcPr>
          <w:p w14:paraId="421F2374"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6 290 000</w:t>
            </w:r>
          </w:p>
        </w:tc>
      </w:tr>
      <w:tr w:rsidR="00827D07" w:rsidRPr="00827D07" w14:paraId="775F8722" w14:textId="77777777" w:rsidTr="0029002B">
        <w:trPr>
          <w:trHeight w:val="397"/>
          <w:jc w:val="center"/>
        </w:trPr>
        <w:tc>
          <w:tcPr>
            <w:tcW w:w="2711" w:type="dxa"/>
            <w:shd w:val="clear" w:color="auto" w:fill="auto"/>
            <w:vAlign w:val="center"/>
          </w:tcPr>
          <w:p w14:paraId="758720DF"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terénní programy</w:t>
            </w:r>
          </w:p>
        </w:tc>
        <w:tc>
          <w:tcPr>
            <w:tcW w:w="1531" w:type="dxa"/>
            <w:shd w:val="clear" w:color="auto" w:fill="D9D9D9"/>
            <w:noWrap/>
            <w:vAlign w:val="center"/>
          </w:tcPr>
          <w:p w14:paraId="5C04FDBA"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58 574 585</w:t>
            </w:r>
          </w:p>
        </w:tc>
        <w:tc>
          <w:tcPr>
            <w:tcW w:w="1531" w:type="dxa"/>
            <w:shd w:val="clear" w:color="auto" w:fill="D9D9D9"/>
            <w:noWrap/>
            <w:vAlign w:val="center"/>
          </w:tcPr>
          <w:p w14:paraId="4686A601"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52 276 185</w:t>
            </w:r>
          </w:p>
        </w:tc>
        <w:tc>
          <w:tcPr>
            <w:tcW w:w="1531" w:type="dxa"/>
            <w:shd w:val="clear" w:color="000000" w:fill="D9E2F3"/>
            <w:noWrap/>
            <w:vAlign w:val="center"/>
          </w:tcPr>
          <w:p w14:paraId="369B619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55 370 000</w:t>
            </w:r>
          </w:p>
        </w:tc>
        <w:tc>
          <w:tcPr>
            <w:tcW w:w="1531" w:type="dxa"/>
            <w:shd w:val="clear" w:color="000000" w:fill="D9E2F3"/>
            <w:noWrap/>
            <w:vAlign w:val="center"/>
          </w:tcPr>
          <w:p w14:paraId="01FC711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60 910 000</w:t>
            </w:r>
          </w:p>
        </w:tc>
        <w:tc>
          <w:tcPr>
            <w:tcW w:w="1531" w:type="dxa"/>
            <w:shd w:val="clear" w:color="000000" w:fill="D9E2F3"/>
            <w:noWrap/>
            <w:vAlign w:val="center"/>
          </w:tcPr>
          <w:p w14:paraId="4C8A7962"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67 010 000</w:t>
            </w:r>
          </w:p>
        </w:tc>
      </w:tr>
      <w:tr w:rsidR="00827D07" w:rsidRPr="00827D07" w14:paraId="53AD7914" w14:textId="77777777" w:rsidTr="0029002B">
        <w:trPr>
          <w:trHeight w:val="397"/>
          <w:jc w:val="center"/>
        </w:trPr>
        <w:tc>
          <w:tcPr>
            <w:tcW w:w="2711" w:type="dxa"/>
            <w:shd w:val="clear" w:color="auto" w:fill="auto"/>
            <w:vAlign w:val="center"/>
          </w:tcPr>
          <w:p w14:paraId="26D00EBA"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tlumočnické služby</w:t>
            </w:r>
          </w:p>
        </w:tc>
        <w:tc>
          <w:tcPr>
            <w:tcW w:w="1531" w:type="dxa"/>
            <w:shd w:val="clear" w:color="auto" w:fill="D9D9D9"/>
            <w:noWrap/>
            <w:vAlign w:val="center"/>
          </w:tcPr>
          <w:p w14:paraId="16D1B44A"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1 309 100</w:t>
            </w:r>
          </w:p>
        </w:tc>
        <w:tc>
          <w:tcPr>
            <w:tcW w:w="1531" w:type="dxa"/>
            <w:shd w:val="clear" w:color="auto" w:fill="D9D9D9"/>
            <w:noWrap/>
            <w:vAlign w:val="center"/>
          </w:tcPr>
          <w:p w14:paraId="05FE2FA3"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981 750</w:t>
            </w:r>
          </w:p>
        </w:tc>
        <w:tc>
          <w:tcPr>
            <w:tcW w:w="1531" w:type="dxa"/>
            <w:shd w:val="clear" w:color="000000" w:fill="D9E2F3"/>
            <w:noWrap/>
            <w:vAlign w:val="center"/>
          </w:tcPr>
          <w:p w14:paraId="03762EE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1 500 000</w:t>
            </w:r>
          </w:p>
        </w:tc>
        <w:tc>
          <w:tcPr>
            <w:tcW w:w="1531" w:type="dxa"/>
            <w:shd w:val="clear" w:color="000000" w:fill="D9E2F3"/>
            <w:noWrap/>
            <w:vAlign w:val="center"/>
          </w:tcPr>
          <w:p w14:paraId="67F1E73F"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1 650 000</w:t>
            </w:r>
          </w:p>
        </w:tc>
        <w:tc>
          <w:tcPr>
            <w:tcW w:w="1531" w:type="dxa"/>
            <w:shd w:val="clear" w:color="000000" w:fill="D9E2F3"/>
            <w:noWrap/>
            <w:vAlign w:val="center"/>
          </w:tcPr>
          <w:p w14:paraId="464156D8"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1 820 000</w:t>
            </w:r>
          </w:p>
        </w:tc>
      </w:tr>
      <w:tr w:rsidR="00827D07" w:rsidRPr="00827D07" w14:paraId="6671410A" w14:textId="77777777" w:rsidTr="0029002B">
        <w:trPr>
          <w:trHeight w:val="397"/>
          <w:jc w:val="center"/>
        </w:trPr>
        <w:tc>
          <w:tcPr>
            <w:tcW w:w="2711" w:type="dxa"/>
            <w:shd w:val="clear" w:color="auto" w:fill="auto"/>
            <w:vAlign w:val="center"/>
          </w:tcPr>
          <w:p w14:paraId="410AE196" w14:textId="77777777" w:rsidR="00827D07" w:rsidRPr="00827D07" w:rsidRDefault="00827D07" w:rsidP="00827D07">
            <w:pPr>
              <w:spacing w:before="0" w:line="240" w:lineRule="auto"/>
              <w:jc w:val="left"/>
              <w:rPr>
                <w:rFonts w:eastAsia="Aptos"/>
                <w:sz w:val="20"/>
                <w:szCs w:val="20"/>
                <w:lang w:eastAsia="en-US"/>
              </w:rPr>
            </w:pPr>
            <w:r w:rsidRPr="00827D07">
              <w:rPr>
                <w:rFonts w:eastAsia="Aptos"/>
                <w:sz w:val="20"/>
                <w:szCs w:val="20"/>
                <w:lang w:eastAsia="en-US"/>
              </w:rPr>
              <w:t>týdenní stacionáře</w:t>
            </w:r>
          </w:p>
        </w:tc>
        <w:tc>
          <w:tcPr>
            <w:tcW w:w="1531" w:type="dxa"/>
            <w:shd w:val="clear" w:color="auto" w:fill="D9D9D9"/>
            <w:noWrap/>
            <w:vAlign w:val="center"/>
          </w:tcPr>
          <w:p w14:paraId="597D11DB"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5 867 000</w:t>
            </w:r>
          </w:p>
        </w:tc>
        <w:tc>
          <w:tcPr>
            <w:tcW w:w="1531" w:type="dxa"/>
            <w:shd w:val="clear" w:color="auto" w:fill="D9D9D9"/>
            <w:noWrap/>
            <w:vAlign w:val="center"/>
          </w:tcPr>
          <w:p w14:paraId="2E22DAA6"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3 800 000</w:t>
            </w:r>
          </w:p>
        </w:tc>
        <w:tc>
          <w:tcPr>
            <w:tcW w:w="1531" w:type="dxa"/>
            <w:shd w:val="clear" w:color="000000" w:fill="D9E2F3"/>
            <w:noWrap/>
            <w:vAlign w:val="center"/>
          </w:tcPr>
          <w:p w14:paraId="0A2ACEDA"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1 760 000</w:t>
            </w:r>
          </w:p>
        </w:tc>
        <w:tc>
          <w:tcPr>
            <w:tcW w:w="1531" w:type="dxa"/>
            <w:shd w:val="clear" w:color="000000" w:fill="D9E2F3"/>
            <w:noWrap/>
            <w:vAlign w:val="center"/>
          </w:tcPr>
          <w:p w14:paraId="274E2BAE"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1 940 000</w:t>
            </w:r>
          </w:p>
        </w:tc>
        <w:tc>
          <w:tcPr>
            <w:tcW w:w="1531" w:type="dxa"/>
            <w:shd w:val="clear" w:color="000000" w:fill="D9E2F3"/>
            <w:noWrap/>
            <w:vAlign w:val="center"/>
          </w:tcPr>
          <w:p w14:paraId="7CEE8BAC" w14:textId="77777777" w:rsidR="00827D07" w:rsidRPr="00827D07" w:rsidRDefault="00827D07" w:rsidP="00827D07">
            <w:pPr>
              <w:spacing w:before="0" w:line="240" w:lineRule="auto"/>
              <w:jc w:val="center"/>
              <w:rPr>
                <w:rFonts w:eastAsia="Aptos"/>
                <w:sz w:val="20"/>
                <w:szCs w:val="20"/>
                <w:lang w:eastAsia="en-US"/>
              </w:rPr>
            </w:pPr>
            <w:r w:rsidRPr="00827D07">
              <w:rPr>
                <w:rFonts w:eastAsia="Aptos"/>
                <w:sz w:val="20"/>
                <w:szCs w:val="20"/>
                <w:lang w:eastAsia="en-US"/>
              </w:rPr>
              <w:t>2 140 000</w:t>
            </w:r>
          </w:p>
        </w:tc>
      </w:tr>
      <w:tr w:rsidR="00827D07" w:rsidRPr="00827D07" w14:paraId="0B0513C5" w14:textId="77777777" w:rsidTr="0029002B">
        <w:trPr>
          <w:trHeight w:val="397"/>
          <w:jc w:val="center"/>
        </w:trPr>
        <w:tc>
          <w:tcPr>
            <w:tcW w:w="2711" w:type="dxa"/>
            <w:shd w:val="clear" w:color="000000" w:fill="B8CCE4"/>
            <w:vAlign w:val="center"/>
            <w:hideMark/>
          </w:tcPr>
          <w:p w14:paraId="21D90AB4" w14:textId="77777777" w:rsidR="00827D07" w:rsidRPr="00827D07" w:rsidRDefault="00827D07" w:rsidP="00827D07">
            <w:pPr>
              <w:spacing w:before="0" w:line="240" w:lineRule="auto"/>
              <w:jc w:val="center"/>
              <w:rPr>
                <w:rFonts w:eastAsia="Aptos"/>
                <w:b/>
                <w:sz w:val="20"/>
                <w:szCs w:val="20"/>
                <w:lang w:eastAsia="en-US"/>
              </w:rPr>
            </w:pPr>
            <w:r w:rsidRPr="00827D07">
              <w:rPr>
                <w:rFonts w:eastAsia="Aptos"/>
                <w:b/>
                <w:sz w:val="20"/>
                <w:szCs w:val="20"/>
                <w:lang w:eastAsia="en-US"/>
              </w:rPr>
              <w:t>Celkový součet</w:t>
            </w:r>
          </w:p>
        </w:tc>
        <w:tc>
          <w:tcPr>
            <w:tcW w:w="1531" w:type="dxa"/>
            <w:shd w:val="clear" w:color="000000" w:fill="BFBFBF"/>
            <w:noWrap/>
            <w:vAlign w:val="center"/>
          </w:tcPr>
          <w:p w14:paraId="1E7C6EB7" w14:textId="77777777" w:rsidR="00827D07" w:rsidRPr="00827D07" w:rsidRDefault="00827D07" w:rsidP="00827D07">
            <w:pPr>
              <w:spacing w:before="0" w:line="240" w:lineRule="auto"/>
              <w:jc w:val="center"/>
              <w:rPr>
                <w:rFonts w:eastAsia="Aptos"/>
                <w:b/>
                <w:bCs/>
                <w:sz w:val="20"/>
                <w:szCs w:val="20"/>
                <w:lang w:eastAsia="en-US"/>
              </w:rPr>
            </w:pPr>
            <w:r w:rsidRPr="00827D07">
              <w:rPr>
                <w:rFonts w:eastAsia="Aptos"/>
                <w:b/>
                <w:bCs/>
                <w:sz w:val="20"/>
                <w:szCs w:val="20"/>
                <w:lang w:eastAsia="en-US"/>
              </w:rPr>
              <w:t>4 924 736 244</w:t>
            </w:r>
          </w:p>
        </w:tc>
        <w:tc>
          <w:tcPr>
            <w:tcW w:w="1531" w:type="dxa"/>
            <w:shd w:val="clear" w:color="000000" w:fill="BFBFBF"/>
            <w:noWrap/>
            <w:vAlign w:val="center"/>
          </w:tcPr>
          <w:p w14:paraId="26B0155C" w14:textId="77777777" w:rsidR="00827D07" w:rsidRPr="00827D07" w:rsidRDefault="00827D07" w:rsidP="00827D07">
            <w:pPr>
              <w:spacing w:before="0" w:line="240" w:lineRule="auto"/>
              <w:jc w:val="center"/>
              <w:rPr>
                <w:rFonts w:eastAsia="Aptos"/>
                <w:b/>
                <w:bCs/>
                <w:sz w:val="20"/>
                <w:szCs w:val="20"/>
                <w:lang w:eastAsia="en-US"/>
              </w:rPr>
            </w:pPr>
            <w:r w:rsidRPr="00827D07">
              <w:rPr>
                <w:rFonts w:eastAsia="Aptos"/>
                <w:b/>
                <w:bCs/>
                <w:sz w:val="20"/>
                <w:szCs w:val="20"/>
                <w:lang w:eastAsia="en-US"/>
              </w:rPr>
              <w:t>2 524 639 705</w:t>
            </w:r>
          </w:p>
        </w:tc>
        <w:tc>
          <w:tcPr>
            <w:tcW w:w="1531" w:type="dxa"/>
            <w:shd w:val="clear" w:color="000000" w:fill="B4C6E7"/>
            <w:noWrap/>
            <w:vAlign w:val="center"/>
          </w:tcPr>
          <w:p w14:paraId="4C302AB6" w14:textId="77777777" w:rsidR="00827D07" w:rsidRPr="00827D07" w:rsidRDefault="00827D07" w:rsidP="00827D07">
            <w:pPr>
              <w:spacing w:before="0" w:line="240" w:lineRule="auto"/>
              <w:jc w:val="center"/>
              <w:rPr>
                <w:rFonts w:eastAsia="Aptos"/>
                <w:b/>
                <w:bCs/>
                <w:sz w:val="20"/>
                <w:szCs w:val="20"/>
                <w:lang w:eastAsia="en-US"/>
              </w:rPr>
            </w:pPr>
            <w:r w:rsidRPr="00827D07">
              <w:rPr>
                <w:rFonts w:eastAsia="Aptos"/>
                <w:b/>
                <w:bCs/>
                <w:sz w:val="20"/>
                <w:szCs w:val="20"/>
                <w:lang w:eastAsia="en-US"/>
              </w:rPr>
              <w:t>2 641 930 000</w:t>
            </w:r>
          </w:p>
        </w:tc>
        <w:tc>
          <w:tcPr>
            <w:tcW w:w="1531" w:type="dxa"/>
            <w:shd w:val="clear" w:color="000000" w:fill="B4C6E7"/>
            <w:noWrap/>
            <w:vAlign w:val="center"/>
          </w:tcPr>
          <w:p w14:paraId="6EE35C1C" w14:textId="77777777" w:rsidR="00827D07" w:rsidRPr="00827D07" w:rsidRDefault="00827D07" w:rsidP="00827D07">
            <w:pPr>
              <w:spacing w:before="0" w:line="240" w:lineRule="auto"/>
              <w:rPr>
                <w:rFonts w:eastAsia="Aptos"/>
                <w:b/>
                <w:bCs/>
                <w:sz w:val="20"/>
                <w:szCs w:val="20"/>
                <w:lang w:eastAsia="en-US"/>
              </w:rPr>
            </w:pPr>
            <w:r w:rsidRPr="00827D07">
              <w:rPr>
                <w:rFonts w:eastAsia="Aptos"/>
                <w:b/>
                <w:bCs/>
                <w:sz w:val="20"/>
                <w:szCs w:val="20"/>
                <w:lang w:eastAsia="en-US"/>
              </w:rPr>
              <w:t>2 933 418 500</w:t>
            </w:r>
          </w:p>
        </w:tc>
        <w:tc>
          <w:tcPr>
            <w:tcW w:w="1531" w:type="dxa"/>
            <w:shd w:val="clear" w:color="000000" w:fill="B4C6E7"/>
            <w:noWrap/>
            <w:vAlign w:val="center"/>
          </w:tcPr>
          <w:p w14:paraId="23518FC4" w14:textId="77777777" w:rsidR="00827D07" w:rsidRPr="00827D07" w:rsidRDefault="00827D07" w:rsidP="00827D07">
            <w:pPr>
              <w:spacing w:before="0" w:line="240" w:lineRule="auto"/>
              <w:jc w:val="center"/>
              <w:rPr>
                <w:rFonts w:eastAsia="Aptos"/>
                <w:b/>
                <w:bCs/>
                <w:sz w:val="20"/>
                <w:szCs w:val="20"/>
                <w:lang w:eastAsia="en-US"/>
              </w:rPr>
            </w:pPr>
            <w:r w:rsidRPr="00827D07">
              <w:rPr>
                <w:rFonts w:eastAsia="Aptos"/>
                <w:b/>
                <w:bCs/>
                <w:sz w:val="20"/>
                <w:szCs w:val="20"/>
                <w:lang w:eastAsia="en-US"/>
              </w:rPr>
              <w:t>3 277 520 000</w:t>
            </w:r>
          </w:p>
        </w:tc>
      </w:tr>
    </w:tbl>
    <w:p w14:paraId="5CD41D91" w14:textId="77777777" w:rsidR="00827D07" w:rsidRPr="00827D07" w:rsidRDefault="00827D07" w:rsidP="00827D07">
      <w:pPr>
        <w:rPr>
          <w:rFonts w:eastAsia="Aptos"/>
          <w:szCs w:val="24"/>
          <w:lang w:eastAsia="en-US"/>
        </w:rPr>
      </w:pPr>
      <w:r w:rsidRPr="00827D07">
        <w:rPr>
          <w:rFonts w:eastAsia="Aptos"/>
          <w:szCs w:val="24"/>
          <w:lang w:eastAsia="en-US"/>
        </w:rPr>
        <w:t>Vypočtená výše predikce na rok 2026 byla zaokrouhlena na desítky milionů nahoru, tím byla stanovena Předpokládaná výše krajem požadované dotace na rok 2026.</w:t>
      </w:r>
    </w:p>
    <w:p w14:paraId="507F3BEF" w14:textId="77777777" w:rsidR="00827D07" w:rsidRPr="00827D07" w:rsidRDefault="00827D07" w:rsidP="00827D07">
      <w:pPr>
        <w:spacing w:before="0" w:line="240" w:lineRule="auto"/>
        <w:rPr>
          <w:rFonts w:eastAsia="Aptos"/>
          <w:b/>
          <w:szCs w:val="24"/>
          <w:lang w:eastAsia="en-US"/>
        </w:rPr>
      </w:pPr>
    </w:p>
    <w:p w14:paraId="3C2B2E1F" w14:textId="77777777" w:rsidR="00827D07" w:rsidRPr="00827D07" w:rsidRDefault="00827D07" w:rsidP="00827D07">
      <w:pPr>
        <w:spacing w:before="0" w:line="240" w:lineRule="auto"/>
        <w:rPr>
          <w:rFonts w:eastAsia="Times New Roman"/>
          <w:color w:val="000000"/>
          <w:sz w:val="22"/>
        </w:rPr>
      </w:pPr>
      <w:r w:rsidRPr="00827D07">
        <w:rPr>
          <w:rFonts w:eastAsia="Aptos"/>
          <w:b/>
          <w:szCs w:val="24"/>
          <w:lang w:eastAsia="en-US"/>
        </w:rPr>
        <w:t xml:space="preserve">Předpokládaná výše krajem požadované dotace na rok 2026: </w:t>
      </w:r>
      <w:r w:rsidRPr="00827D07">
        <w:rPr>
          <w:rFonts w:eastAsia="Times New Roman"/>
          <w:b/>
          <w:color w:val="000000"/>
          <w:sz w:val="22"/>
        </w:rPr>
        <w:t>2 650 000 000</w:t>
      </w:r>
      <w:r w:rsidRPr="00827D07">
        <w:rPr>
          <w:rFonts w:eastAsia="Times New Roman"/>
          <w:color w:val="000000"/>
          <w:sz w:val="22"/>
        </w:rPr>
        <w:t xml:space="preserve">  </w:t>
      </w:r>
    </w:p>
    <w:p w14:paraId="413FC72F" w14:textId="77777777" w:rsidR="00895EA2" w:rsidRPr="00B17780" w:rsidRDefault="008D42F9" w:rsidP="00010750">
      <w:pPr>
        <w:keepNext/>
        <w:keepLines/>
        <w:pBdr>
          <w:bottom w:val="single" w:sz="4" w:space="1" w:color="000000"/>
        </w:pBdr>
        <w:spacing w:before="480" w:after="240" w:line="240" w:lineRule="auto"/>
        <w:outlineLvl w:val="1"/>
        <w:rPr>
          <w:rFonts w:eastAsiaTheme="majorEastAsia"/>
          <w:b/>
          <w:bCs/>
          <w:sz w:val="28"/>
          <w:szCs w:val="28"/>
        </w:rPr>
      </w:pPr>
      <w:bookmarkStart w:id="14" w:name="_Hlk165360364"/>
      <w:bookmarkEnd w:id="9"/>
      <w:bookmarkEnd w:id="10"/>
      <w:r w:rsidRPr="00B17780">
        <w:rPr>
          <w:rFonts w:eastAsiaTheme="majorEastAsia"/>
          <w:b/>
          <w:bCs/>
          <w:sz w:val="28"/>
          <w:szCs w:val="28"/>
        </w:rPr>
        <w:t xml:space="preserve">3. </w:t>
      </w:r>
      <w:r w:rsidR="00C7726F" w:rsidRPr="00B17780">
        <w:rPr>
          <w:rFonts w:eastAsiaTheme="majorEastAsia"/>
          <w:b/>
          <w:bCs/>
          <w:sz w:val="28"/>
          <w:szCs w:val="28"/>
        </w:rPr>
        <w:t>S</w:t>
      </w:r>
      <w:r w:rsidR="00895EA2" w:rsidRPr="00B17780">
        <w:rPr>
          <w:rFonts w:eastAsiaTheme="majorEastAsia"/>
          <w:b/>
          <w:bCs/>
          <w:sz w:val="28"/>
          <w:szCs w:val="28"/>
        </w:rPr>
        <w:t>eznam opatření střednědobéh</w:t>
      </w:r>
      <w:r w:rsidR="00C7726F" w:rsidRPr="00B17780">
        <w:rPr>
          <w:rFonts w:eastAsiaTheme="majorEastAsia"/>
          <w:b/>
          <w:bCs/>
          <w:sz w:val="28"/>
          <w:szCs w:val="28"/>
        </w:rPr>
        <w:t>o plánu naplněných v daném roce</w:t>
      </w:r>
    </w:p>
    <w:p w14:paraId="3EBFAA1C" w14:textId="5EC0363F" w:rsidR="00D34CD5" w:rsidRPr="00D34CD5" w:rsidRDefault="00D34CD5" w:rsidP="001A2B79">
      <w:pPr>
        <w:pStyle w:val="slovn"/>
        <w:widowControl w:val="0"/>
        <w:numPr>
          <w:ilvl w:val="0"/>
          <w:numId w:val="0"/>
        </w:numPr>
        <w:spacing w:after="120"/>
        <w:outlineLvl w:val="0"/>
        <w:rPr>
          <w:bCs/>
          <w:noProof/>
        </w:rPr>
      </w:pPr>
      <w:bookmarkStart w:id="15" w:name="_Hlk165296451"/>
      <w:bookmarkEnd w:id="14"/>
      <w:r w:rsidRPr="00D34CD5">
        <w:rPr>
          <w:bCs/>
          <w:noProof/>
        </w:rPr>
        <w:t xml:space="preserve">Kapitola </w:t>
      </w:r>
      <w:r w:rsidR="00C60FBF">
        <w:rPr>
          <w:bCs/>
          <w:noProof/>
        </w:rPr>
        <w:t>5</w:t>
      </w:r>
      <w:r w:rsidRPr="00D34CD5">
        <w:rPr>
          <w:bCs/>
          <w:noProof/>
        </w:rPr>
        <w:t xml:space="preserve"> </w:t>
      </w:r>
      <w:r w:rsidR="0002458B">
        <w:rPr>
          <w:bCs/>
          <w:noProof/>
        </w:rPr>
        <w:t xml:space="preserve">Akčního plánu 2026 </w:t>
      </w:r>
      <w:r w:rsidRPr="00D34CD5">
        <w:rPr>
          <w:bCs/>
          <w:noProof/>
        </w:rPr>
        <w:t>vyhodnocuje plnění cílů a opatření SPRSS 2024-2026 na rok 202</w:t>
      </w:r>
      <w:r w:rsidR="004E57B3">
        <w:rPr>
          <w:bCs/>
          <w:noProof/>
        </w:rPr>
        <w:t>5</w:t>
      </w:r>
      <w:r w:rsidRPr="00D34CD5">
        <w:rPr>
          <w:bCs/>
          <w:noProof/>
        </w:rPr>
        <w:t xml:space="preserve"> v oblasti aktualizace jednotek u sociálních služeb v síti již zařazených, dále pak vyhodnocení plnění cílů a opatření SPRSS 2024-2026 na rok 202</w:t>
      </w:r>
      <w:r w:rsidR="004E57B3">
        <w:rPr>
          <w:bCs/>
          <w:noProof/>
        </w:rPr>
        <w:t>6</w:t>
      </w:r>
      <w:r w:rsidRPr="00D34CD5">
        <w:rPr>
          <w:bCs/>
          <w:noProof/>
        </w:rPr>
        <w:t xml:space="preserve"> v oblasti zařazení nových sociálních služeb do sítě OK. </w:t>
      </w:r>
    </w:p>
    <w:p w14:paraId="745EB54C" w14:textId="6F4280E1" w:rsidR="00506AAC" w:rsidRPr="00EA7BCC" w:rsidRDefault="00506AAC" w:rsidP="001A2B79">
      <w:pPr>
        <w:keepNext/>
        <w:keepLines/>
        <w:pBdr>
          <w:bottom w:val="single" w:sz="4" w:space="1" w:color="000000"/>
        </w:pBdr>
        <w:spacing w:before="480" w:after="240"/>
        <w:outlineLvl w:val="1"/>
        <w:rPr>
          <w:rFonts w:eastAsiaTheme="majorEastAsia"/>
          <w:b/>
          <w:bCs/>
          <w:sz w:val="28"/>
          <w:szCs w:val="28"/>
        </w:rPr>
      </w:pPr>
      <w:bookmarkStart w:id="16" w:name="_Toc164934148"/>
      <w:bookmarkEnd w:id="15"/>
      <w:r w:rsidRPr="00EA7BCC">
        <w:rPr>
          <w:rFonts w:eastAsiaTheme="majorEastAsia"/>
          <w:b/>
          <w:bCs/>
          <w:sz w:val="28"/>
          <w:szCs w:val="28"/>
        </w:rPr>
        <w:lastRenderedPageBreak/>
        <w:t>4. Aktualizace SPRSS 2024-2026</w:t>
      </w:r>
    </w:p>
    <w:bookmarkEnd w:id="16"/>
    <w:p w14:paraId="6F2DC71E" w14:textId="48D99954" w:rsidR="00CB3F87" w:rsidRPr="00EA7BCC" w:rsidRDefault="00CB3F87" w:rsidP="001A2B79">
      <w:pPr>
        <w:pStyle w:val="slovn"/>
        <w:widowControl w:val="0"/>
        <w:numPr>
          <w:ilvl w:val="0"/>
          <w:numId w:val="0"/>
        </w:numPr>
        <w:spacing w:after="120"/>
        <w:outlineLvl w:val="0"/>
        <w:rPr>
          <w:noProof/>
        </w:rPr>
      </w:pPr>
      <w:r w:rsidRPr="00EA7BCC">
        <w:rPr>
          <w:noProof/>
        </w:rPr>
        <w:t>V souladu s definicí Akčního plánu uvedenou v části 1.2. a aktuálními zjištěnými informacemi, kterými OK v současné době disponuje, bylo OK přistoupeno</w:t>
      </w:r>
      <w:r w:rsidR="004E57B3" w:rsidRPr="00EA7BCC">
        <w:rPr>
          <w:noProof/>
        </w:rPr>
        <w:t xml:space="preserve"> v roce 2024</w:t>
      </w:r>
      <w:r w:rsidR="009D7809" w:rsidRPr="00EA7BCC">
        <w:rPr>
          <w:noProof/>
        </w:rPr>
        <w:t xml:space="preserve"> a</w:t>
      </w:r>
      <w:r w:rsidR="006D7932">
        <w:rPr>
          <w:noProof/>
        </w:rPr>
        <w:t> </w:t>
      </w:r>
      <w:r w:rsidR="009D7809" w:rsidRPr="00EA7BCC">
        <w:rPr>
          <w:noProof/>
        </w:rPr>
        <w:t>2025</w:t>
      </w:r>
      <w:r w:rsidRPr="00EA7BCC">
        <w:rPr>
          <w:noProof/>
        </w:rPr>
        <w:t xml:space="preserve"> k aktualizaci SPRSS 2024-2026.</w:t>
      </w:r>
    </w:p>
    <w:p w14:paraId="4A3CC3BB" w14:textId="29315095" w:rsidR="00CB3F87" w:rsidRPr="00EA7BCC" w:rsidRDefault="00CB3F87" w:rsidP="001A2B79">
      <w:pPr>
        <w:pStyle w:val="slovn"/>
        <w:widowControl w:val="0"/>
        <w:numPr>
          <w:ilvl w:val="0"/>
          <w:numId w:val="0"/>
        </w:numPr>
        <w:spacing w:after="120"/>
        <w:outlineLvl w:val="0"/>
        <w:rPr>
          <w:noProof/>
          <w:u w:val="single"/>
        </w:rPr>
      </w:pPr>
      <w:r w:rsidRPr="00EA7BCC">
        <w:rPr>
          <w:noProof/>
          <w:u w:val="single"/>
        </w:rPr>
        <w:t xml:space="preserve">Prostřednictvím Akčního plánu 2025 </w:t>
      </w:r>
      <w:r w:rsidR="004E57B3" w:rsidRPr="00EA7BCC">
        <w:rPr>
          <w:noProof/>
          <w:u w:val="single"/>
        </w:rPr>
        <w:t>byl</w:t>
      </w:r>
      <w:r w:rsidRPr="00EA7BCC">
        <w:rPr>
          <w:noProof/>
          <w:u w:val="single"/>
        </w:rPr>
        <w:t xml:space="preserve"> SPRSS 2024-2026 aktualizován v části kapitoly 8 Specifické cíle a opatření pro jednotlivé pracovní skupiny, konkrétně kapitoly 8. 3 Pracovní skupina č. 3: Senioři, a to v souladu s cílem P.2.2 Průběžné zavádění nástrojů na definici požadavků pro nastavení jednotlivých druhů sociálních služeb definovaným v kapitole 7 Průřezové cíle a opatření.</w:t>
      </w:r>
    </w:p>
    <w:p w14:paraId="7CD9C104" w14:textId="4DD39E19" w:rsidR="00827D07" w:rsidRPr="00885EC9" w:rsidRDefault="00827D07" w:rsidP="001A2B79">
      <w:pPr>
        <w:pStyle w:val="slovn"/>
        <w:widowControl w:val="0"/>
        <w:numPr>
          <w:ilvl w:val="0"/>
          <w:numId w:val="0"/>
        </w:numPr>
        <w:outlineLvl w:val="0"/>
        <w:rPr>
          <w:noProof/>
        </w:rPr>
      </w:pPr>
      <w:r w:rsidRPr="00EA7BCC">
        <w:rPr>
          <w:noProof/>
        </w:rPr>
        <w:t xml:space="preserve">V Akčním plánu na rok 2025 byly definovány požadavky na pečovatelské služby, které byly výsledkem diskusí probíhajících v letech 2023 a 2024, které navazovaly na jednání z let 2021 a 2022, která se věnovala efektivnímu nastavení územní působnosti. </w:t>
      </w:r>
      <w:r w:rsidR="00EA7BCC" w:rsidRPr="00885EC9">
        <w:rPr>
          <w:noProof/>
        </w:rPr>
        <w:t>V roce 2025 proběhla další jednání se zástupci pečovatelských služeb, která se týkala již praktického zavádění požadavků kraje do poskytování služby. Na základě těchto jednání byl požadavek na zajištění služby všem cílovým skupinám uvedeným v zákoně o sociálních služebách upraven následovně:</w:t>
      </w:r>
    </w:p>
    <w:p w14:paraId="65EB6E02" w14:textId="77777777" w:rsidR="00957879" w:rsidRPr="00EA7BCC" w:rsidRDefault="00957879" w:rsidP="00957879">
      <w:pPr>
        <w:pStyle w:val="Odstavecseseznamem"/>
        <w:numPr>
          <w:ilvl w:val="0"/>
          <w:numId w:val="17"/>
        </w:numPr>
        <w:spacing w:before="0"/>
        <w:rPr>
          <w:rFonts w:eastAsia="Calibri"/>
          <w:szCs w:val="24"/>
          <w:lang w:eastAsia="en-US"/>
        </w:rPr>
      </w:pPr>
      <w:r w:rsidRPr="00EA7BCC">
        <w:rPr>
          <w:rFonts w:eastAsia="Calibri"/>
          <w:szCs w:val="24"/>
          <w:lang w:eastAsia="en-US"/>
        </w:rPr>
        <w:t>Poskytovatel svou nabídkou sociální služby oslovuje všechny cílové skupiny uvedené v zákoně o sociálních službách: osoby, které mají sníženou soběstačnost z důvodu věku, chronického onemocnění (včetně psychického onemocnění) nebo zdravotního postižení (fyzického, mentálního i smyslového), a rodiny s dětmi, jejichž situace vyžaduje pomoc jiné fyzické osoby, vyjma osob s poruchou autistického spektra, chováním náročným na péči a dětí kojeneckého věku (do 1 roku).</w:t>
      </w:r>
    </w:p>
    <w:p w14:paraId="1DCD9B6A" w14:textId="77777777" w:rsidR="00B62825" w:rsidRPr="00EA7BCC" w:rsidRDefault="00B62825" w:rsidP="001A2B79">
      <w:pPr>
        <w:tabs>
          <w:tab w:val="left" w:pos="1030"/>
          <w:tab w:val="left" w:pos="1990"/>
          <w:tab w:val="left" w:pos="2950"/>
          <w:tab w:val="left" w:pos="4474"/>
          <w:tab w:val="left" w:pos="5434"/>
          <w:tab w:val="left" w:pos="6394"/>
          <w:tab w:val="left" w:pos="7681"/>
          <w:tab w:val="left" w:pos="8641"/>
        </w:tabs>
        <w:spacing w:after="120"/>
        <w:ind w:left="720"/>
        <w:contextualSpacing/>
        <w:rPr>
          <w:rFonts w:eastAsia="Calibri"/>
          <w:szCs w:val="24"/>
          <w:lang w:eastAsia="en-US"/>
        </w:rPr>
      </w:pPr>
    </w:p>
    <w:p w14:paraId="73CFE714" w14:textId="41732AF0" w:rsidR="00B62825" w:rsidRPr="00B62825" w:rsidRDefault="00B62825" w:rsidP="001A2B79">
      <w:pPr>
        <w:tabs>
          <w:tab w:val="left" w:pos="1030"/>
          <w:tab w:val="left" w:pos="1990"/>
          <w:tab w:val="left" w:pos="2950"/>
          <w:tab w:val="left" w:pos="4474"/>
          <w:tab w:val="left" w:pos="5434"/>
          <w:tab w:val="left" w:pos="6394"/>
          <w:tab w:val="left" w:pos="7681"/>
          <w:tab w:val="left" w:pos="8641"/>
        </w:tabs>
        <w:spacing w:after="120"/>
        <w:contextualSpacing/>
        <w:rPr>
          <w:rFonts w:eastAsia="Calibri"/>
          <w:szCs w:val="24"/>
          <w:lang w:eastAsia="en-US"/>
        </w:rPr>
      </w:pPr>
      <w:r w:rsidRPr="00EA7BCC">
        <w:rPr>
          <w:rFonts w:eastAsia="Calibri"/>
          <w:szCs w:val="24"/>
          <w:lang w:eastAsia="en-US"/>
        </w:rPr>
        <w:t xml:space="preserve">Pečovatelské služby nesplňující od 1. 1. 2026 požadavky </w:t>
      </w:r>
      <w:r w:rsidR="00EA7BCC" w:rsidRPr="00EA7BCC">
        <w:rPr>
          <w:rFonts w:eastAsia="Calibri"/>
          <w:szCs w:val="24"/>
          <w:lang w:eastAsia="en-US"/>
        </w:rPr>
        <w:t xml:space="preserve">uvedené v Akčním plánu 2026 </w:t>
      </w:r>
      <w:r w:rsidRPr="00EA7BCC">
        <w:rPr>
          <w:rFonts w:eastAsia="Calibri"/>
          <w:szCs w:val="24"/>
          <w:lang w:eastAsia="en-US"/>
        </w:rPr>
        <w:t>budou považovány za služby, které nezajišťují požadovanou dostupnost poskytování sociální služby v Olomouckém kraji. Olomoucký kraj bude v tomto případě hledat poskytovatele pečovatelské služby, který tuto dostupnost zajistí. Sociální služba nesplňující uvedené požadavky bude, po zajištění dostupnosti pečovatelské služby v dané lokalitě, vyřazena ze Sítě sociálních služeb Olomouckého kraje.</w:t>
      </w:r>
      <w:r w:rsidRPr="00B62825">
        <w:rPr>
          <w:rFonts w:eastAsia="Calibri"/>
          <w:szCs w:val="24"/>
          <w:lang w:eastAsia="en-US"/>
        </w:rPr>
        <w:t xml:space="preserve"> </w:t>
      </w:r>
    </w:p>
    <w:p w14:paraId="69F69FB0" w14:textId="77777777" w:rsidR="00827D07" w:rsidRDefault="00827D07" w:rsidP="00010750">
      <w:pPr>
        <w:pStyle w:val="slovn"/>
        <w:widowControl w:val="0"/>
        <w:numPr>
          <w:ilvl w:val="0"/>
          <w:numId w:val="0"/>
        </w:numPr>
        <w:spacing w:line="240" w:lineRule="auto"/>
        <w:outlineLvl w:val="0"/>
        <w:rPr>
          <w:noProof/>
          <w:highlight w:val="yellow"/>
        </w:rPr>
      </w:pPr>
    </w:p>
    <w:p w14:paraId="64A2FF04" w14:textId="77777777" w:rsidR="009D7809" w:rsidRPr="00EA7BCC" w:rsidRDefault="009D7809" w:rsidP="009D7809">
      <w:pPr>
        <w:pStyle w:val="slovn"/>
        <w:widowControl w:val="0"/>
        <w:numPr>
          <w:ilvl w:val="0"/>
          <w:numId w:val="0"/>
        </w:numPr>
        <w:outlineLvl w:val="0"/>
        <w:rPr>
          <w:noProof/>
          <w:u w:val="single"/>
        </w:rPr>
      </w:pPr>
      <w:r w:rsidRPr="00EA7BCC">
        <w:rPr>
          <w:noProof/>
          <w:u w:val="single"/>
        </w:rPr>
        <w:t>Prostřednictvím Akčního plánu 2026, je SPRSS 2024-2026 aktualizován v části kapitoly 8 Specifické cíle a opatření pro jednotlivé pracovní skupiny, konkrétně kapitoly 8. 2 Pracovní skupina č. 2: Osoby se zdravotním postižením.</w:t>
      </w:r>
    </w:p>
    <w:p w14:paraId="0CF5E317" w14:textId="77777777" w:rsidR="009D7809" w:rsidRPr="00EA7BCC" w:rsidRDefault="009D7809" w:rsidP="009D7809">
      <w:pPr>
        <w:pStyle w:val="slovn"/>
        <w:widowControl w:val="0"/>
        <w:numPr>
          <w:ilvl w:val="0"/>
          <w:numId w:val="0"/>
        </w:numPr>
        <w:outlineLvl w:val="0"/>
        <w:rPr>
          <w:noProof/>
        </w:rPr>
      </w:pPr>
      <w:r w:rsidRPr="00EA7BCC">
        <w:rPr>
          <w:noProof/>
        </w:rPr>
        <w:t>Na území ORP Olomouc dlouhodobě chybí kapacity specializované sociální služby denního stacionáře zaměřené na osoby s mentálním postižením v kombinaci s poruchou autistického spektra (PAS) či dalšími zdravotními postiženími, včetně osob s chováním náročným na péči. Tato cílová skupina vyžaduje specifický přístup, strukturované prostředí a vysokou míru podpory, kterou nelze zajistit v běžných zařízeních.</w:t>
      </w:r>
    </w:p>
    <w:p w14:paraId="5015A1ED" w14:textId="77777777" w:rsidR="009D7809" w:rsidRPr="00EA7BCC" w:rsidRDefault="009D7809" w:rsidP="009D7809">
      <w:pPr>
        <w:pStyle w:val="slovn"/>
        <w:widowControl w:val="0"/>
        <w:numPr>
          <w:ilvl w:val="0"/>
          <w:numId w:val="0"/>
        </w:numPr>
        <w:spacing w:line="240" w:lineRule="auto"/>
        <w:outlineLvl w:val="0"/>
        <w:rPr>
          <w:b/>
          <w:bCs/>
          <w:noProof/>
        </w:rPr>
      </w:pPr>
      <w:r w:rsidRPr="00EA7BCC">
        <w:rPr>
          <w:b/>
          <w:bCs/>
          <w:noProof/>
        </w:rPr>
        <w:t>Zajištění denního stacionáře s kapacitou odpovídající personálnímu zajištění 7,5 pracovních úvazků v přímé</w:t>
      </w:r>
      <w:r w:rsidRPr="00EA7BCC">
        <w:rPr>
          <w:noProof/>
        </w:rPr>
        <w:t xml:space="preserve"> </w:t>
      </w:r>
      <w:r w:rsidRPr="00EA7BCC">
        <w:rPr>
          <w:b/>
          <w:bCs/>
          <w:noProof/>
        </w:rPr>
        <w:t>péči umožní:</w:t>
      </w:r>
    </w:p>
    <w:p w14:paraId="68F1E041" w14:textId="77777777" w:rsidR="009D7809" w:rsidRPr="00EA7BCC" w:rsidRDefault="009D7809" w:rsidP="009D7809">
      <w:pPr>
        <w:pStyle w:val="slovn"/>
        <w:widowControl w:val="0"/>
        <w:numPr>
          <w:ilvl w:val="0"/>
          <w:numId w:val="18"/>
        </w:numPr>
        <w:spacing w:line="240" w:lineRule="auto"/>
        <w:outlineLvl w:val="0"/>
        <w:rPr>
          <w:noProof/>
        </w:rPr>
      </w:pPr>
      <w:r w:rsidRPr="00EA7BCC">
        <w:rPr>
          <w:b/>
          <w:bCs/>
          <w:noProof/>
        </w:rPr>
        <w:t>Zajištění důstojné a odborné péče</w:t>
      </w:r>
      <w:r w:rsidRPr="00EA7BCC">
        <w:rPr>
          <w:noProof/>
        </w:rPr>
        <w:t> pro osoby, které nemohou být začleněny do běžných denních služeb z důvodu náročného chování či kombinace postižení.</w:t>
      </w:r>
    </w:p>
    <w:p w14:paraId="223511AE" w14:textId="77777777" w:rsidR="009D7809" w:rsidRPr="00EA7BCC" w:rsidRDefault="009D7809" w:rsidP="009D7809">
      <w:pPr>
        <w:pStyle w:val="slovn"/>
        <w:widowControl w:val="0"/>
        <w:numPr>
          <w:ilvl w:val="0"/>
          <w:numId w:val="18"/>
        </w:numPr>
        <w:spacing w:line="240" w:lineRule="auto"/>
        <w:outlineLvl w:val="0"/>
        <w:rPr>
          <w:noProof/>
        </w:rPr>
      </w:pPr>
      <w:r w:rsidRPr="00EA7BCC">
        <w:rPr>
          <w:b/>
          <w:bCs/>
          <w:noProof/>
        </w:rPr>
        <w:lastRenderedPageBreak/>
        <w:t>Odlehčení pečujícím rodinám</w:t>
      </w:r>
      <w:r w:rsidRPr="00EA7BCC">
        <w:rPr>
          <w:noProof/>
        </w:rPr>
        <w:t>, které jsou často na hranici vyčerpání a bez adekvátní podpory hrozí jejich sociální vyloučení.</w:t>
      </w:r>
    </w:p>
    <w:p w14:paraId="68F4018C" w14:textId="77777777" w:rsidR="009D7809" w:rsidRPr="00EA7BCC" w:rsidRDefault="009D7809" w:rsidP="009D7809">
      <w:pPr>
        <w:pStyle w:val="slovn"/>
        <w:widowControl w:val="0"/>
        <w:numPr>
          <w:ilvl w:val="0"/>
          <w:numId w:val="18"/>
        </w:numPr>
        <w:spacing w:line="240" w:lineRule="auto"/>
        <w:outlineLvl w:val="0"/>
        <w:rPr>
          <w:noProof/>
        </w:rPr>
      </w:pPr>
      <w:r w:rsidRPr="00EA7BCC">
        <w:rPr>
          <w:b/>
          <w:bCs/>
          <w:noProof/>
        </w:rPr>
        <w:t>Zvýšení kvality života klientů</w:t>
      </w:r>
      <w:r w:rsidRPr="00EA7BCC">
        <w:rPr>
          <w:noProof/>
        </w:rPr>
        <w:t> prostřednictvím rozvoje soběstačnosti, sociálních dovedností a smysluplného trávení času.</w:t>
      </w:r>
    </w:p>
    <w:p w14:paraId="73EC40AE" w14:textId="77777777" w:rsidR="009D7809" w:rsidRPr="00EA7BCC" w:rsidRDefault="009D7809" w:rsidP="009D7809">
      <w:pPr>
        <w:pStyle w:val="slovn"/>
        <w:widowControl w:val="0"/>
        <w:numPr>
          <w:ilvl w:val="0"/>
          <w:numId w:val="18"/>
        </w:numPr>
        <w:spacing w:line="240" w:lineRule="auto"/>
        <w:outlineLvl w:val="0"/>
        <w:rPr>
          <w:noProof/>
        </w:rPr>
      </w:pPr>
      <w:r w:rsidRPr="00EA7BCC">
        <w:rPr>
          <w:b/>
          <w:bCs/>
          <w:noProof/>
        </w:rPr>
        <w:t>Zajištění kontinuity péče</w:t>
      </w:r>
      <w:r w:rsidRPr="00EA7BCC">
        <w:rPr>
          <w:noProof/>
        </w:rPr>
        <w:t> v rámci komunitních služeb a prevence institucionálního umisťování.</w:t>
      </w:r>
    </w:p>
    <w:p w14:paraId="497A57D5" w14:textId="77777777" w:rsidR="009D7809" w:rsidRPr="00EA7BCC" w:rsidRDefault="009D7809" w:rsidP="009D7809">
      <w:pPr>
        <w:pStyle w:val="slovn"/>
        <w:widowControl w:val="0"/>
        <w:numPr>
          <w:ilvl w:val="0"/>
          <w:numId w:val="0"/>
        </w:numPr>
        <w:outlineLvl w:val="0"/>
        <w:rPr>
          <w:noProof/>
        </w:rPr>
      </w:pPr>
      <w:r w:rsidRPr="00EA7BCC">
        <w:rPr>
          <w:noProof/>
        </w:rPr>
        <w:t>Demografické a sociální analýzy v regionu ukazují na rostoucí počet osob s kombinovaným postižením a zároveň na nedostatečnou kapacitu specializovaných služeb. Vznik denního stacionáře je tak nezbytným krokem k zajištění rovného přístupu ke službám a naplnění principů deinstitucionalizace a komunitní péče.</w:t>
      </w:r>
    </w:p>
    <w:p w14:paraId="2778D693" w14:textId="77777777" w:rsidR="009D7809" w:rsidRDefault="009D7809" w:rsidP="00010750">
      <w:pPr>
        <w:pStyle w:val="slovn"/>
        <w:widowControl w:val="0"/>
        <w:numPr>
          <w:ilvl w:val="0"/>
          <w:numId w:val="0"/>
        </w:numPr>
        <w:spacing w:line="240" w:lineRule="auto"/>
        <w:outlineLvl w:val="0"/>
        <w:rPr>
          <w:noProof/>
          <w:highlight w:val="yellow"/>
        </w:rPr>
      </w:pPr>
    </w:p>
    <w:p w14:paraId="31597D7F" w14:textId="6CD702E7" w:rsidR="00895EA2" w:rsidRPr="00B17780" w:rsidRDefault="00CB3F87" w:rsidP="001A2B79">
      <w:pPr>
        <w:keepNext/>
        <w:keepLines/>
        <w:pBdr>
          <w:bottom w:val="single" w:sz="4" w:space="1" w:color="000000"/>
        </w:pBdr>
        <w:spacing w:before="480" w:after="240"/>
        <w:outlineLvl w:val="1"/>
        <w:rPr>
          <w:rFonts w:eastAsiaTheme="majorEastAsia"/>
          <w:b/>
          <w:bCs/>
          <w:sz w:val="28"/>
          <w:szCs w:val="28"/>
        </w:rPr>
      </w:pPr>
      <w:r>
        <w:rPr>
          <w:rFonts w:eastAsiaTheme="majorEastAsia"/>
          <w:b/>
          <w:bCs/>
          <w:sz w:val="28"/>
          <w:szCs w:val="28"/>
        </w:rPr>
        <w:t>5</w:t>
      </w:r>
      <w:r w:rsidR="008D42F9" w:rsidRPr="00B17780">
        <w:rPr>
          <w:rFonts w:eastAsiaTheme="majorEastAsia"/>
          <w:b/>
          <w:bCs/>
          <w:sz w:val="28"/>
          <w:szCs w:val="28"/>
        </w:rPr>
        <w:t xml:space="preserve">. </w:t>
      </w:r>
      <w:r w:rsidR="00895EA2" w:rsidRPr="00B17780">
        <w:rPr>
          <w:rFonts w:eastAsiaTheme="majorEastAsia"/>
          <w:b/>
          <w:bCs/>
          <w:sz w:val="28"/>
          <w:szCs w:val="28"/>
        </w:rPr>
        <w:t>Evaluační zpráva o naplňování Střednědobého plánu</w:t>
      </w:r>
      <w:r w:rsidR="00CD0C62" w:rsidRPr="00B17780">
        <w:rPr>
          <w:rFonts w:eastAsiaTheme="majorEastAsia"/>
          <w:b/>
          <w:bCs/>
          <w:sz w:val="28"/>
          <w:szCs w:val="28"/>
        </w:rPr>
        <w:t xml:space="preserve"> rozvoje sociálních služeb v OK</w:t>
      </w:r>
    </w:p>
    <w:p w14:paraId="51304727" w14:textId="161F3C82" w:rsidR="00AF07C4" w:rsidRPr="00DE6303" w:rsidRDefault="00AF07C4" w:rsidP="001A2B79">
      <w:pPr>
        <w:rPr>
          <w:szCs w:val="24"/>
          <w:lang w:eastAsia="en-US"/>
        </w:rPr>
      </w:pPr>
      <w:r w:rsidRPr="00552299">
        <w:rPr>
          <w:szCs w:val="24"/>
          <w:lang w:eastAsia="en-US"/>
        </w:rPr>
        <w:t xml:space="preserve">Účelem Evaluační zprávy </w:t>
      </w:r>
      <w:r w:rsidR="00B44FC8" w:rsidRPr="00517595">
        <w:t xml:space="preserve">Střednědobého plánu rozvoje sociálních služeb Olomouckého kraje </w:t>
      </w:r>
      <w:r w:rsidR="00B44FC8">
        <w:t>pro roky 202</w:t>
      </w:r>
      <w:r w:rsidR="004E57B3">
        <w:t>4</w:t>
      </w:r>
      <w:r w:rsidR="00B44FC8">
        <w:t>-202</w:t>
      </w:r>
      <w:r w:rsidR="004E57B3">
        <w:t>6</w:t>
      </w:r>
      <w:r w:rsidR="00B44FC8">
        <w:t xml:space="preserve"> </w:t>
      </w:r>
      <w:r w:rsidR="00B44FC8" w:rsidRPr="00DE6303">
        <w:rPr>
          <w:b/>
          <w:szCs w:val="24"/>
          <w:lang w:eastAsia="en-US"/>
        </w:rPr>
        <w:t xml:space="preserve">za ukončený kalendářní rok </w:t>
      </w:r>
      <w:r w:rsidR="00B44FC8">
        <w:rPr>
          <w:b/>
        </w:rPr>
        <w:t>202</w:t>
      </w:r>
      <w:r w:rsidR="004E57B3">
        <w:rPr>
          <w:b/>
        </w:rPr>
        <w:t>4</w:t>
      </w:r>
      <w:r w:rsidR="00B44FC8" w:rsidRPr="00DE6303">
        <w:rPr>
          <w:b/>
        </w:rPr>
        <w:t xml:space="preserve"> </w:t>
      </w:r>
      <w:r w:rsidRPr="00552299">
        <w:rPr>
          <w:szCs w:val="24"/>
          <w:lang w:eastAsia="en-US"/>
        </w:rPr>
        <w:t>je zmapovat skutečně dosažené výsledky v porovnání s nastav</w:t>
      </w:r>
      <w:r>
        <w:rPr>
          <w:szCs w:val="24"/>
          <w:lang w:eastAsia="en-US"/>
        </w:rPr>
        <w:t>enými výstupy uvedenými ve s</w:t>
      </w:r>
      <w:r w:rsidRPr="00517595">
        <w:rPr>
          <w:szCs w:val="24"/>
          <w:lang w:eastAsia="en-US"/>
        </w:rPr>
        <w:t>třednědobém plánu</w:t>
      </w:r>
      <w:r>
        <w:rPr>
          <w:szCs w:val="24"/>
          <w:lang w:eastAsia="en-US"/>
        </w:rPr>
        <w:t xml:space="preserve"> </w:t>
      </w:r>
      <w:r w:rsidRPr="00552299">
        <w:rPr>
          <w:szCs w:val="24"/>
          <w:lang w:eastAsia="en-US"/>
        </w:rPr>
        <w:t>a informovat odbornou i laickou veřejnost o míře naplnění rozvojových cílů a opatření střednědobého plánu, které mají přímý vliv na síť sociálních služeb.</w:t>
      </w:r>
    </w:p>
    <w:p w14:paraId="44269116" w14:textId="1C24DCC6" w:rsidR="00895EA2" w:rsidRDefault="00895EA2" w:rsidP="001A2B79"/>
    <w:p w14:paraId="4D36584B" w14:textId="5DAA56B0" w:rsidR="00FE58FB" w:rsidRPr="00BB035E" w:rsidRDefault="00FE58FB" w:rsidP="001A2B79">
      <w:pPr>
        <w:pStyle w:val="slovn"/>
        <w:numPr>
          <w:ilvl w:val="0"/>
          <w:numId w:val="0"/>
        </w:numPr>
        <w:pBdr>
          <w:bottom w:val="single" w:sz="4" w:space="1" w:color="auto"/>
        </w:pBdr>
        <w:spacing w:before="0"/>
        <w:rPr>
          <w:b/>
          <w:noProof/>
        </w:rPr>
      </w:pPr>
      <w:r w:rsidRPr="00BB035E">
        <w:rPr>
          <w:b/>
          <w:noProof/>
        </w:rPr>
        <w:t>Připomínkování</w:t>
      </w:r>
    </w:p>
    <w:p w14:paraId="4D301F9F" w14:textId="77777777" w:rsidR="006D24DF" w:rsidRPr="006D24DF" w:rsidRDefault="006D24DF" w:rsidP="006D24DF">
      <w:r w:rsidRPr="006D24DF">
        <w:t xml:space="preserve">Návrh Akčního plánu 2026 byl v souladu s vyhláškou č. 505/2006 Sb., kterou se provádějí některá ustanovení zákona o sociálních službách, ve znění pozdějších předpisů, a v souladu s Minimálními kritérii plánování MPSV, předložen odborné i laické veřejnosti k veřejnému připomínkování v rámci kterého, nebyla ve stanovené lhůtě obdržena žádná připomínka. Návrh dokumentu dále připomínkovaly odbory krajského úřadu, kdy ve stanovené lhůtě pro připomínkovací řízení byla k Akčnímu plánu 2026 doručena jedna formální připomínka, která byla zapracována. </w:t>
      </w:r>
    </w:p>
    <w:p w14:paraId="512132FB" w14:textId="77777777" w:rsidR="00452330" w:rsidRDefault="00452330" w:rsidP="00010750">
      <w:pPr>
        <w:spacing w:before="0" w:after="200" w:line="240" w:lineRule="auto"/>
        <w:jc w:val="left"/>
        <w:rPr>
          <w:b/>
        </w:rPr>
      </w:pPr>
    </w:p>
    <w:p w14:paraId="01ADA23A" w14:textId="77777777" w:rsidR="001A57EC" w:rsidRPr="0015305D" w:rsidRDefault="001A57EC" w:rsidP="001A2B79">
      <w:pPr>
        <w:pStyle w:val="slovn"/>
        <w:numPr>
          <w:ilvl w:val="0"/>
          <w:numId w:val="0"/>
        </w:numPr>
        <w:pBdr>
          <w:bottom w:val="single" w:sz="4" w:space="1" w:color="auto"/>
        </w:pBdr>
        <w:spacing w:before="0"/>
        <w:rPr>
          <w:b/>
        </w:rPr>
      </w:pPr>
      <w:r w:rsidRPr="0015305D">
        <w:rPr>
          <w:b/>
          <w:noProof/>
        </w:rPr>
        <w:t>Schvalovací proces</w:t>
      </w:r>
    </w:p>
    <w:p w14:paraId="7D3549C8" w14:textId="5EDC0ABF" w:rsidR="001A57EC" w:rsidRPr="003606BD" w:rsidRDefault="001A57EC" w:rsidP="001A2B79">
      <w:pPr>
        <w:tabs>
          <w:tab w:val="left" w:pos="4368"/>
        </w:tabs>
      </w:pPr>
      <w:r w:rsidRPr="00AF5120">
        <w:rPr>
          <w:rFonts w:eastAsia="Calibri"/>
          <w:lang w:eastAsia="en-US"/>
        </w:rPr>
        <w:t xml:space="preserve">Materiál byl předložen na jednání Komise dne </w:t>
      </w:r>
      <w:r w:rsidR="004E57B3">
        <w:t>21</w:t>
      </w:r>
      <w:r>
        <w:t>. 5. 202</w:t>
      </w:r>
      <w:r w:rsidR="004E57B3">
        <w:t>5</w:t>
      </w:r>
      <w:r w:rsidRPr="00AF5120">
        <w:rPr>
          <w:rFonts w:eastAsia="Calibri"/>
          <w:lang w:eastAsia="en-US"/>
        </w:rPr>
        <w:t xml:space="preserve">. </w:t>
      </w:r>
      <w:r w:rsidRPr="005E67A7">
        <w:t xml:space="preserve">Komise svým </w:t>
      </w:r>
      <w:r w:rsidRPr="00AF07C4">
        <w:t>usnesením</w:t>
      </w:r>
      <w:r w:rsidRPr="00AF07C4">
        <w:rPr>
          <w:rFonts w:ascii="Times New Roman" w:eastAsia="Times New Roman" w:hAnsi="Times New Roman" w:cs="Times New Roman"/>
          <w:b/>
          <w:noProof/>
          <w:szCs w:val="20"/>
        </w:rPr>
        <w:t xml:space="preserve"> </w:t>
      </w:r>
      <w:r w:rsidR="006D7932" w:rsidRPr="006D7932">
        <w:rPr>
          <w:bCs/>
        </w:rPr>
        <w:t>UK-</w:t>
      </w:r>
      <w:r w:rsidR="006D7932">
        <w:rPr>
          <w:bCs/>
        </w:rPr>
        <w:t> </w:t>
      </w:r>
      <w:r w:rsidR="006D7932" w:rsidRPr="006D7932">
        <w:rPr>
          <w:bCs/>
        </w:rPr>
        <w:t>RS/4/3/2025</w:t>
      </w:r>
      <w:r>
        <w:rPr>
          <w:b/>
        </w:rPr>
        <w:t xml:space="preserve"> </w:t>
      </w:r>
      <w:r w:rsidRPr="005E67A7">
        <w:t>Radě Olomouckého kraje doporučila vyjádřit souhlas s Akčním plánem rozvoje sociálních služ</w:t>
      </w:r>
      <w:r>
        <w:t>eb Olomouckého kraje na rok 202</w:t>
      </w:r>
      <w:r w:rsidR="00F948BE">
        <w:t>6</w:t>
      </w:r>
      <w:r w:rsidRPr="005E67A7">
        <w:t xml:space="preserve"> včetně Sítě sociálních služeb Olomouckého kraje na rok</w:t>
      </w:r>
      <w:r>
        <w:t xml:space="preserve"> 202</w:t>
      </w:r>
      <w:r w:rsidR="00F948BE">
        <w:t>6</w:t>
      </w:r>
      <w:r w:rsidRPr="005E67A7">
        <w:t xml:space="preserve"> a požadované účelově určené dotace ze státního rozpočtu na financování běžných výdajů souvisejících s poskytováním základních druhů a forem sociálních služeb na </w:t>
      </w:r>
      <w:r>
        <w:t>rok 202</w:t>
      </w:r>
      <w:r w:rsidR="00F948BE">
        <w:t>6</w:t>
      </w:r>
      <w:r w:rsidRPr="005E67A7">
        <w:t>, vyjádřit souhlas s podáním žádosti o poskytnutí účelově určené dotace ze státního rozpočtu na financování běžných výdajů souvisejících s poskytováním základních druhů a forem sociálních služeb na </w:t>
      </w:r>
      <w:r>
        <w:t>rok 202</w:t>
      </w:r>
      <w:r w:rsidR="00F948BE">
        <w:t>6</w:t>
      </w:r>
      <w:r w:rsidRPr="005E67A7">
        <w:t xml:space="preserve"> a výhledu na následující dva rozpočtové roky v souladu s  Akčním plánem a předložit Zastupitelstvu Olomouckého kraje Akční plán rozvo</w:t>
      </w:r>
      <w:r>
        <w:t>je sociálních služeb na rok 202</w:t>
      </w:r>
      <w:r w:rsidR="00F948BE">
        <w:t>6</w:t>
      </w:r>
      <w:r w:rsidRPr="005E67A7">
        <w:t xml:space="preserve"> k projednání a schválení.</w:t>
      </w:r>
    </w:p>
    <w:p w14:paraId="2F03E7E2" w14:textId="57FDC910" w:rsidR="006D24DF" w:rsidRPr="000D43BF" w:rsidRDefault="006D24DF" w:rsidP="006D24DF">
      <w:pPr>
        <w:widowControl w:val="0"/>
        <w:spacing w:line="264" w:lineRule="auto"/>
      </w:pPr>
      <w:r w:rsidRPr="000D43BF">
        <w:lastRenderedPageBreak/>
        <w:t xml:space="preserve">Rada Olomouckého kraje na svém jednání dne </w:t>
      </w:r>
      <w:r w:rsidR="000D43BF" w:rsidRPr="000D43BF">
        <w:t>2</w:t>
      </w:r>
      <w:r w:rsidRPr="000D43BF">
        <w:t xml:space="preserve">. </w:t>
      </w:r>
      <w:r w:rsidR="000D43BF" w:rsidRPr="000D43BF">
        <w:t>6</w:t>
      </w:r>
      <w:r w:rsidRPr="000D43BF">
        <w:t>. 202</w:t>
      </w:r>
      <w:r w:rsidR="000D43BF" w:rsidRPr="000D43BF">
        <w:t>5</w:t>
      </w:r>
      <w:r w:rsidRPr="000D43BF">
        <w:t xml:space="preserve"> projednala Akční plán rozvoje sociálních služeb Olomouckého kraje na rok 202</w:t>
      </w:r>
      <w:r w:rsidR="000D43BF" w:rsidRPr="000D43BF">
        <w:t>6</w:t>
      </w:r>
      <w:r w:rsidRPr="000D43BF">
        <w:rPr>
          <w:i/>
        </w:rPr>
        <w:t xml:space="preserve"> </w:t>
      </w:r>
      <w:r w:rsidRPr="000D43BF">
        <w:t>včetně sítě sociálních služeb Olomouckého kraje na rok 202</w:t>
      </w:r>
      <w:r w:rsidR="000D43BF" w:rsidRPr="000D43BF">
        <w:t>6</w:t>
      </w:r>
      <w:r w:rsidRPr="000D43BF">
        <w:t>, a podání žádosti o poskytnutí účelově určené dotace ze státního rozpočtu na financování běžných výdajů souvisejících s poskytováním základních druhů a forem sociálních služeb na rok 202</w:t>
      </w:r>
      <w:r w:rsidR="000D43BF" w:rsidRPr="000D43BF">
        <w:t>6</w:t>
      </w:r>
      <w:r w:rsidRPr="000D43BF">
        <w:t xml:space="preserve"> včetně výhledu na následující dva rozpočtové roky v souladu s Akčním plánem a svým usnesením č. UR</w:t>
      </w:r>
      <w:r w:rsidR="00701CD2" w:rsidRPr="00701CD2">
        <w:t>/19/72/2025</w:t>
      </w:r>
      <w:r w:rsidR="00701CD2">
        <w:t xml:space="preserve"> </w:t>
      </w:r>
      <w:r w:rsidRPr="000D43BF">
        <w:t>doporučuje Zastupitelstvu Olomouckého kraje přijmout usnesení v tomto znění:</w:t>
      </w:r>
    </w:p>
    <w:p w14:paraId="43E38DBC" w14:textId="77777777" w:rsidR="006D24DF" w:rsidRPr="000D43BF" w:rsidRDefault="006D24DF" w:rsidP="006D24DF">
      <w:pPr>
        <w:widowControl w:val="0"/>
        <w:spacing w:line="264" w:lineRule="auto"/>
        <w:rPr>
          <w:b/>
          <w:bCs/>
        </w:rPr>
      </w:pPr>
      <w:r w:rsidRPr="000D43BF">
        <w:rPr>
          <w:b/>
          <w:bCs/>
        </w:rPr>
        <w:t>Zastupitelstvo Olomouckého kraje po projednání:</w:t>
      </w:r>
    </w:p>
    <w:tbl>
      <w:tblPr>
        <w:tblW w:w="0" w:type="auto"/>
        <w:tblInd w:w="-42" w:type="dxa"/>
        <w:tblLayout w:type="fixed"/>
        <w:tblCellMar>
          <w:left w:w="0" w:type="dxa"/>
          <w:bottom w:w="113" w:type="dxa"/>
          <w:right w:w="0" w:type="dxa"/>
        </w:tblCellMar>
        <w:tblLook w:val="01E0" w:firstRow="1" w:lastRow="1" w:firstColumn="1" w:lastColumn="1" w:noHBand="0" w:noVBand="0"/>
      </w:tblPr>
      <w:tblGrid>
        <w:gridCol w:w="609"/>
        <w:gridCol w:w="8505"/>
      </w:tblGrid>
      <w:tr w:rsidR="006D24DF" w:rsidRPr="000D43BF" w14:paraId="743208EC" w14:textId="77777777" w:rsidTr="00AF19FD">
        <w:tc>
          <w:tcPr>
            <w:tcW w:w="609" w:type="dxa"/>
          </w:tcPr>
          <w:p w14:paraId="0BC14DD3" w14:textId="77777777" w:rsidR="006D24DF" w:rsidRPr="000D43BF" w:rsidRDefault="006D24DF" w:rsidP="006D24DF">
            <w:pPr>
              <w:widowControl w:val="0"/>
              <w:spacing w:line="264" w:lineRule="auto"/>
            </w:pPr>
            <w:r w:rsidRPr="000D43BF">
              <w:t>1.</w:t>
            </w:r>
          </w:p>
        </w:tc>
        <w:tc>
          <w:tcPr>
            <w:tcW w:w="8505" w:type="dxa"/>
          </w:tcPr>
          <w:p w14:paraId="11D35A0B" w14:textId="4ADD44BD" w:rsidR="006D24DF" w:rsidRPr="000D43BF" w:rsidRDefault="000D43BF" w:rsidP="006D24DF">
            <w:pPr>
              <w:widowControl w:val="0"/>
              <w:spacing w:line="264" w:lineRule="auto"/>
            </w:pPr>
            <w:r>
              <w:rPr>
                <w:b/>
                <w:spacing w:val="70"/>
                <w:szCs w:val="24"/>
              </w:rPr>
              <w:t>schvaluje</w:t>
            </w:r>
            <w:r w:rsidR="006D24DF" w:rsidRPr="000D43BF">
              <w:t xml:space="preserve"> Akční plán rozvoje sociálních služeb Olomouckého kraje na rok 202</w:t>
            </w:r>
            <w:r w:rsidRPr="000D43BF">
              <w:t>6</w:t>
            </w:r>
            <w:r w:rsidR="006D24DF" w:rsidRPr="000D43BF">
              <w:t xml:space="preserve"> včetně sítě sociálních služeb Olomouckého kraje na rok 202</w:t>
            </w:r>
            <w:r w:rsidRPr="000D43BF">
              <w:t>6</w:t>
            </w:r>
            <w:r w:rsidR="006D24DF" w:rsidRPr="000D43BF">
              <w:t>, dle Přílohy č. 1 usnesení</w:t>
            </w:r>
          </w:p>
        </w:tc>
      </w:tr>
      <w:tr w:rsidR="006D24DF" w:rsidRPr="000D43BF" w14:paraId="64B65611" w14:textId="77777777" w:rsidTr="00AF19FD">
        <w:tc>
          <w:tcPr>
            <w:tcW w:w="609" w:type="dxa"/>
          </w:tcPr>
          <w:p w14:paraId="3E8D3707" w14:textId="77777777" w:rsidR="006D24DF" w:rsidRPr="000D43BF" w:rsidRDefault="006D24DF" w:rsidP="006D24DF">
            <w:pPr>
              <w:widowControl w:val="0"/>
              <w:spacing w:line="264" w:lineRule="auto"/>
            </w:pPr>
            <w:r w:rsidRPr="000D43BF">
              <w:t>2.</w:t>
            </w:r>
          </w:p>
        </w:tc>
        <w:tc>
          <w:tcPr>
            <w:tcW w:w="8505" w:type="dxa"/>
          </w:tcPr>
          <w:p w14:paraId="4A84D398" w14:textId="78C0101C" w:rsidR="006D24DF" w:rsidRPr="000D43BF" w:rsidRDefault="000D43BF" w:rsidP="006D24DF">
            <w:pPr>
              <w:widowControl w:val="0"/>
              <w:spacing w:line="264" w:lineRule="auto"/>
            </w:pPr>
            <w:r>
              <w:rPr>
                <w:b/>
                <w:spacing w:val="70"/>
                <w:szCs w:val="24"/>
              </w:rPr>
              <w:t>schvaluje</w:t>
            </w:r>
            <w:r w:rsidR="006D24DF" w:rsidRPr="000D43BF">
              <w:t xml:space="preserve"> podání žádosti o poskytnutí účelově určené dotace ze státního rozpočtu na financování běžných výdajů souvisejících s poskytováním základních druhů a forem sociálních služeb na rok 202</w:t>
            </w:r>
            <w:r w:rsidRPr="000D43BF">
              <w:t>6</w:t>
            </w:r>
            <w:r w:rsidR="006D24DF" w:rsidRPr="000D43BF">
              <w:t xml:space="preserve"> včetně výhledu na následující dva rozpočtové roky v souladu s Akčním plánem</w:t>
            </w:r>
          </w:p>
        </w:tc>
      </w:tr>
    </w:tbl>
    <w:p w14:paraId="005C7F24" w14:textId="77777777" w:rsidR="001A57EC" w:rsidRDefault="001A57EC" w:rsidP="001A57EC">
      <w:pPr>
        <w:widowControl w:val="0"/>
        <w:spacing w:line="264" w:lineRule="auto"/>
        <w:rPr>
          <w:b/>
          <w:bCs/>
        </w:rPr>
      </w:pPr>
    </w:p>
    <w:p w14:paraId="47EB7855" w14:textId="77777777" w:rsidR="00BB035E" w:rsidRPr="00DF12E0" w:rsidRDefault="00BB035E" w:rsidP="00BB035E">
      <w:pPr>
        <w:spacing w:before="0" w:after="120"/>
        <w:rPr>
          <w:szCs w:val="24"/>
          <w:highlight w:val="yellow"/>
        </w:rPr>
      </w:pPr>
    </w:p>
    <w:p w14:paraId="2F74432D" w14:textId="77777777" w:rsidR="00BB035E" w:rsidRDefault="00BB035E" w:rsidP="00BB035E">
      <w:pPr>
        <w:spacing w:before="360" w:line="264" w:lineRule="auto"/>
        <w:ind w:left="28"/>
        <w:rPr>
          <w:rFonts w:eastAsia="Calibri"/>
          <w:b/>
          <w:bCs/>
          <w:iCs/>
        </w:rPr>
      </w:pPr>
    </w:p>
    <w:p w14:paraId="1A41D736" w14:textId="77777777" w:rsidR="00BB035E" w:rsidRPr="003F11DB" w:rsidRDefault="00BB035E" w:rsidP="00BB035E">
      <w:pPr>
        <w:spacing w:before="360" w:line="264" w:lineRule="auto"/>
        <w:rPr>
          <w:rFonts w:eastAsia="Calibri"/>
          <w:i/>
        </w:rPr>
      </w:pPr>
      <w:r w:rsidRPr="003F11DB">
        <w:rPr>
          <w:rFonts w:eastAsia="Calibri"/>
          <w:bCs/>
          <w:iCs/>
        </w:rPr>
        <w:t>Příloha usnesení:</w:t>
      </w:r>
    </w:p>
    <w:p w14:paraId="6AE9FF7E" w14:textId="77777777" w:rsidR="00BB035E" w:rsidRPr="003A2674" w:rsidRDefault="00BB035E" w:rsidP="00BB035E">
      <w:pPr>
        <w:spacing w:before="0" w:line="120" w:lineRule="auto"/>
        <w:ind w:left="28"/>
        <w:rPr>
          <w:rFonts w:eastAsia="Calibri"/>
          <w:b/>
          <w:bCs/>
          <w:iCs/>
        </w:rPr>
      </w:pPr>
    </w:p>
    <w:p w14:paraId="2DFB6C8D" w14:textId="1F275475" w:rsidR="00BB035E" w:rsidRPr="003A2674" w:rsidRDefault="00BB035E" w:rsidP="00BB035E">
      <w:pPr>
        <w:tabs>
          <w:tab w:val="left" w:pos="1418"/>
          <w:tab w:val="left" w:pos="1843"/>
        </w:tabs>
        <w:ind w:left="11"/>
        <w:rPr>
          <w:rFonts w:eastAsia="Calibri"/>
          <w:noProof/>
        </w:rPr>
      </w:pPr>
      <w:r>
        <w:rPr>
          <w:rFonts w:eastAsia="Calibri"/>
          <w:szCs w:val="24"/>
        </w:rPr>
        <w:t xml:space="preserve">Usnesení </w:t>
      </w:r>
      <w:r w:rsidRPr="003A2674">
        <w:rPr>
          <w:rFonts w:eastAsia="Calibri"/>
          <w:szCs w:val="24"/>
        </w:rPr>
        <w:t xml:space="preserve">příloha č. </w:t>
      </w:r>
      <w:r w:rsidR="00267604">
        <w:rPr>
          <w:rFonts w:eastAsia="Calibri"/>
          <w:szCs w:val="24"/>
        </w:rPr>
        <w:t>0</w:t>
      </w:r>
      <w:r w:rsidRPr="003A2674">
        <w:rPr>
          <w:rFonts w:eastAsia="Calibri"/>
          <w:szCs w:val="24"/>
        </w:rPr>
        <w:t xml:space="preserve">1 - </w:t>
      </w:r>
      <w:r w:rsidRPr="003A2674">
        <w:t>Akční plán rozvoje sociálních služ</w:t>
      </w:r>
      <w:r>
        <w:t>eb Olomouckého kraje na rok 202</w:t>
      </w:r>
      <w:r w:rsidR="00F948BE">
        <w:t>6</w:t>
      </w:r>
    </w:p>
    <w:p w14:paraId="2D0C3627" w14:textId="77777777" w:rsidR="00BB035E" w:rsidRPr="007F60E1" w:rsidRDefault="00BB035E" w:rsidP="006706E6">
      <w:pPr>
        <w:spacing w:before="0" w:after="200"/>
        <w:jc w:val="left"/>
      </w:pPr>
    </w:p>
    <w:sectPr w:rsidR="00BB035E" w:rsidRPr="007F60E1" w:rsidSect="00F06C04">
      <w:headerReference w:type="default" r:id="rId8"/>
      <w:footerReference w:type="default" r:id="rId9"/>
      <w:footnotePr>
        <w:numFmt w:val="lowerRoman"/>
      </w:footnotePr>
      <w:type w:val="continuous"/>
      <w:pgSz w:w="11906" w:h="16838"/>
      <w:pgMar w:top="1077" w:right="1077" w:bottom="899" w:left="1077" w:header="709" w:footer="5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37DAF" w14:textId="77777777" w:rsidR="00674518" w:rsidRDefault="00674518" w:rsidP="00E21A8D">
      <w:r>
        <w:separator/>
      </w:r>
    </w:p>
  </w:endnote>
  <w:endnote w:type="continuationSeparator" w:id="0">
    <w:p w14:paraId="66487787" w14:textId="77777777" w:rsidR="00674518" w:rsidRDefault="00674518" w:rsidP="00E21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haroni">
    <w:altName w:val="Times New Roman"/>
    <w:charset w:val="B1"/>
    <w:family w:val="auto"/>
    <w:pitch w:val="variable"/>
    <w:sig w:usb0="00000803" w:usb1="00000000" w:usb2="00000000" w:usb3="00000000" w:csb0="0000002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13FD0" w14:textId="3069DC2E" w:rsidR="00AA38EE" w:rsidRPr="00BA31CB" w:rsidRDefault="006D24DF" w:rsidP="0020542E">
    <w:pPr>
      <w:pStyle w:val="Zpat"/>
      <w:pBdr>
        <w:top w:val="single" w:sz="4" w:space="1" w:color="auto"/>
      </w:pBdr>
      <w:tabs>
        <w:tab w:val="clear" w:pos="9072"/>
        <w:tab w:val="right" w:pos="9781"/>
      </w:tabs>
      <w:spacing w:before="0"/>
      <w:rPr>
        <w:rStyle w:val="slostrnky"/>
        <w:i/>
        <w:sz w:val="20"/>
      </w:rPr>
    </w:pPr>
    <w:r w:rsidRPr="006D24DF">
      <w:rPr>
        <w:i/>
        <w:sz w:val="20"/>
      </w:rPr>
      <w:t xml:space="preserve">Zastupitelstvo Olomouckého kraje </w:t>
    </w:r>
    <w:r>
      <w:rPr>
        <w:i/>
        <w:sz w:val="20"/>
      </w:rPr>
      <w:t>23</w:t>
    </w:r>
    <w:r w:rsidRPr="006D24DF">
      <w:rPr>
        <w:i/>
        <w:sz w:val="20"/>
      </w:rPr>
      <w:t>. 6. 202</w:t>
    </w:r>
    <w:r>
      <w:rPr>
        <w:i/>
        <w:sz w:val="20"/>
      </w:rPr>
      <w:t>5</w:t>
    </w:r>
    <w:r w:rsidR="00AA38EE" w:rsidRPr="00BA31CB">
      <w:rPr>
        <w:rStyle w:val="slostrnky"/>
        <w:i/>
        <w:sz w:val="20"/>
      </w:rPr>
      <w:tab/>
    </w:r>
    <w:r w:rsidR="00AA38EE">
      <w:rPr>
        <w:rStyle w:val="slostrnky"/>
        <w:i/>
        <w:sz w:val="20"/>
      </w:rPr>
      <w:tab/>
    </w:r>
    <w:r w:rsidR="00AA38EE" w:rsidRPr="00BA31CB">
      <w:rPr>
        <w:rStyle w:val="slostrnky"/>
        <w:i/>
        <w:sz w:val="20"/>
      </w:rPr>
      <w:t xml:space="preserve">Strana </w:t>
    </w:r>
    <w:r w:rsidR="00AA38EE" w:rsidRPr="00BA31CB">
      <w:rPr>
        <w:rStyle w:val="slostrnky"/>
        <w:i/>
        <w:sz w:val="20"/>
      </w:rPr>
      <w:fldChar w:fldCharType="begin"/>
    </w:r>
    <w:r w:rsidR="00AA38EE" w:rsidRPr="00BA31CB">
      <w:rPr>
        <w:rStyle w:val="slostrnky"/>
        <w:i/>
        <w:sz w:val="20"/>
      </w:rPr>
      <w:instrText xml:space="preserve"> PAGE </w:instrText>
    </w:r>
    <w:r w:rsidR="00AA38EE" w:rsidRPr="00BA31CB">
      <w:rPr>
        <w:rStyle w:val="slostrnky"/>
        <w:i/>
        <w:sz w:val="20"/>
      </w:rPr>
      <w:fldChar w:fldCharType="separate"/>
    </w:r>
    <w:r w:rsidR="00587C1F">
      <w:rPr>
        <w:rStyle w:val="slostrnky"/>
        <w:i/>
        <w:noProof/>
        <w:sz w:val="20"/>
      </w:rPr>
      <w:t>13</w:t>
    </w:r>
    <w:r w:rsidR="00AA38EE" w:rsidRPr="00BA31CB">
      <w:rPr>
        <w:rStyle w:val="slostrnky"/>
        <w:i/>
        <w:sz w:val="20"/>
      </w:rPr>
      <w:fldChar w:fldCharType="end"/>
    </w:r>
    <w:r w:rsidR="00AA38EE">
      <w:rPr>
        <w:rStyle w:val="slostrnky"/>
        <w:i/>
        <w:sz w:val="20"/>
      </w:rPr>
      <w:t xml:space="preserve"> (</w:t>
    </w:r>
    <w:r w:rsidR="00AA38EE" w:rsidRPr="007F60E1">
      <w:rPr>
        <w:rStyle w:val="slostrnky"/>
        <w:i/>
        <w:sz w:val="20"/>
      </w:rPr>
      <w:t>celkem 1</w:t>
    </w:r>
    <w:r w:rsidR="002433CB">
      <w:rPr>
        <w:rStyle w:val="slostrnky"/>
        <w:i/>
        <w:sz w:val="20"/>
      </w:rPr>
      <w:t>2</w:t>
    </w:r>
    <w:r w:rsidR="00AA38EE" w:rsidRPr="00BA31CB">
      <w:rPr>
        <w:rStyle w:val="slostrnky"/>
        <w:i/>
        <w:sz w:val="20"/>
      </w:rPr>
      <w:t>)</w:t>
    </w:r>
  </w:p>
  <w:p w14:paraId="7479E720" w14:textId="4897D849" w:rsidR="00AA38EE" w:rsidRPr="0020542E" w:rsidRDefault="0039536B" w:rsidP="00BF4B95">
    <w:pPr>
      <w:pStyle w:val="Zpat"/>
      <w:pBdr>
        <w:top w:val="single" w:sz="4" w:space="1" w:color="auto"/>
      </w:pBdr>
      <w:spacing w:before="0"/>
      <w:rPr>
        <w:rStyle w:val="slostrnky"/>
      </w:rPr>
    </w:pPr>
    <w:r>
      <w:rPr>
        <w:rStyle w:val="slostrnky"/>
        <w:i/>
        <w:sz w:val="20"/>
      </w:rPr>
      <w:t>32</w:t>
    </w:r>
    <w:r w:rsidR="00AA38EE">
      <w:rPr>
        <w:rStyle w:val="slostrnky"/>
        <w:i/>
        <w:sz w:val="20"/>
      </w:rPr>
      <w:t xml:space="preserve">. </w:t>
    </w:r>
    <w:r w:rsidR="00AA38EE" w:rsidRPr="00E13479">
      <w:rPr>
        <w:rStyle w:val="slostrnky"/>
        <w:i/>
        <w:sz w:val="20"/>
      </w:rPr>
      <w:t xml:space="preserve">– </w:t>
    </w:r>
    <w:bookmarkStart w:id="17" w:name="_Hlk197413436"/>
    <w:r w:rsidR="00AA38EE">
      <w:rPr>
        <w:rStyle w:val="slostrnky"/>
        <w:i/>
        <w:sz w:val="20"/>
      </w:rPr>
      <w:t>Akční plán rozvoje sociálních služeb Olomouckého kraje na rok 202</w:t>
    </w:r>
    <w:r w:rsidR="009A286E">
      <w:rPr>
        <w:rStyle w:val="slostrnky"/>
        <w:i/>
        <w:sz w:val="20"/>
      </w:rPr>
      <w:t>6</w:t>
    </w:r>
    <w:bookmarkEnd w:id="1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EA733" w14:textId="77777777" w:rsidR="00674518" w:rsidRDefault="00674518" w:rsidP="00E21A8D">
      <w:r>
        <w:separator/>
      </w:r>
    </w:p>
  </w:footnote>
  <w:footnote w:type="continuationSeparator" w:id="0">
    <w:p w14:paraId="3BFACAC0" w14:textId="77777777" w:rsidR="00674518" w:rsidRDefault="00674518" w:rsidP="00E21A8D">
      <w:r>
        <w:continuationSeparator/>
      </w:r>
    </w:p>
  </w:footnote>
  <w:footnote w:id="1">
    <w:p w14:paraId="52911346" w14:textId="46EE35BE" w:rsidR="00827D07" w:rsidRDefault="00827D07" w:rsidP="00827D07">
      <w:pPr>
        <w:pStyle w:val="Textpoznpodarou"/>
      </w:pPr>
      <w:r>
        <w:rPr>
          <w:rStyle w:val="Znakapoznpodarou"/>
        </w:rPr>
        <w:footnoteRef/>
      </w:r>
      <w:r>
        <w:t xml:space="preserve"> </w:t>
      </w:r>
      <w:r w:rsidRPr="00A0160A">
        <w:t xml:space="preserve">V tabulce </w:t>
      </w:r>
      <w:r>
        <w:t xml:space="preserve">č. </w:t>
      </w:r>
      <w:r w:rsidR="001A2B79">
        <w:t>2</w:t>
      </w:r>
      <w:r>
        <w:t xml:space="preserve">: </w:t>
      </w:r>
      <w:r w:rsidRPr="00A0160A">
        <w:t>Kalkulace požadované dotace na zajištění sítě jsou v části Rok 202</w:t>
      </w:r>
      <w:r>
        <w:t>5</w:t>
      </w:r>
      <w:r w:rsidRPr="00A0160A">
        <w:t xml:space="preserve"> u sociálních služeb azylové domy uvedeny údaje, které zcela nekorespondují </w:t>
      </w:r>
      <w:r>
        <w:t xml:space="preserve">s </w:t>
      </w:r>
      <w:r w:rsidRPr="00A0160A">
        <w:t>realitou těchto sociálních služeb, neboť ne všichni poskytovatelé sociálních služeb azylové domy podali žádost o dotaci ze státního rozpočtu na financování sociálních služeb</w:t>
      </w:r>
      <w:r>
        <w:t>, z důvodu částečného zajištění prostřednictvím Individuálního projektu Olomouckého kraje</w:t>
      </w:r>
      <w:r w:rsidRPr="00A0160A">
        <w:t xml:space="preserve">. Dle </w:t>
      </w:r>
      <w:r>
        <w:t xml:space="preserve">podkladů pro přezkoumání vyrovnávací platby za rok 2024 byly celkové náklady sociálních služeb azylové domy </w:t>
      </w:r>
      <w:r w:rsidRPr="000D71AD">
        <w:t>101 817 329 Kč</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C334E" w14:textId="77777777" w:rsidR="00AA38EE" w:rsidRDefault="00AA38EE" w:rsidP="00E21A8D">
    <w:pPr>
      <w:pStyle w:val="Zhlav"/>
      <w:numPr>
        <w:ilvl w:val="0"/>
        <w:numId w:val="0"/>
      </w:numPr>
      <w:ind w:left="56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E0C0C0A2"/>
    <w:lvl w:ilvl="0">
      <w:start w:val="1"/>
      <w:numFmt w:val="upperLetter"/>
      <w:lvlText w:val="%1)"/>
      <w:lvlJc w:val="left"/>
      <w:rPr>
        <w:rFonts w:hint="default"/>
        <w:b w:val="0"/>
        <w:bCs/>
        <w:i w:val="0"/>
        <w:iCs w:val="0"/>
        <w:smallCaps w:val="0"/>
        <w:strike w:val="0"/>
        <w:color w:val="000000"/>
        <w:spacing w:val="0"/>
        <w:w w:val="100"/>
        <w:position w:val="0"/>
        <w:sz w:val="22"/>
        <w:szCs w:val="22"/>
        <w:u w:val="none"/>
      </w:rPr>
    </w:lvl>
    <w:lvl w:ilvl="1">
      <w:start w:val="1"/>
      <w:numFmt w:val="decimal"/>
      <w:pStyle w:val="slovn"/>
      <w:lvlText w:val="(%2)"/>
      <w:lvlJc w:val="left"/>
      <w:rPr>
        <w:rFonts w:ascii="Arial" w:hAnsi="Arial" w:cs="Arial" w:hint="default"/>
        <w:b w:val="0"/>
        <w:bCs w:val="0"/>
        <w:i w:val="0"/>
        <w:iCs w:val="0"/>
        <w:smallCaps w:val="0"/>
        <w:strike w:val="0"/>
        <w:color w:val="000000"/>
        <w:spacing w:val="0"/>
        <w:w w:val="100"/>
        <w:position w:val="0"/>
        <w:sz w:val="24"/>
        <w:szCs w:val="22"/>
        <w:u w:val="none"/>
      </w:rPr>
    </w:lvl>
    <w:lvl w:ilvl="2">
      <w:start w:val="1"/>
      <w:numFmt w:val="lowerLetter"/>
      <w:lvlText w:val="%3)"/>
      <w:lvlJc w:val="left"/>
      <w:rPr>
        <w:rFonts w:ascii="Arial" w:hAnsi="Arial" w:cs="Arial" w:hint="default"/>
        <w:b w:val="0"/>
        <w:bCs w:val="0"/>
        <w:i w:val="0"/>
        <w:iCs w:val="0"/>
        <w:smallCaps w:val="0"/>
        <w:strike w:val="0"/>
        <w:color w:val="000000"/>
        <w:spacing w:val="0"/>
        <w:w w:val="100"/>
        <w:position w:val="0"/>
        <w:sz w:val="24"/>
        <w:szCs w:val="22"/>
        <w:u w:val="none"/>
      </w:rPr>
    </w:lvl>
    <w:lvl w:ilvl="3">
      <w:start w:val="1"/>
      <w:numFmt w:val="decimal"/>
      <w:lvlText w:val="(%4)"/>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decimal"/>
      <w:lvlText w:val="(%5)"/>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decimal"/>
      <w:lvlText w:val="(%6)"/>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lowerLetter"/>
      <w:lvlText w:val="%7)"/>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lowerLetter"/>
      <w:lvlText w:val="%8)"/>
      <w:lvlJc w:val="left"/>
      <w:rPr>
        <w:b w:val="0"/>
        <w:bCs w:val="0"/>
        <w:i w:val="0"/>
        <w:iCs w:val="0"/>
        <w:smallCaps w:val="0"/>
        <w:strike w:val="0"/>
        <w:color w:val="000000"/>
        <w:spacing w:val="0"/>
        <w:w w:val="100"/>
        <w:position w:val="0"/>
        <w:sz w:val="22"/>
        <w:szCs w:val="22"/>
        <w:u w:val="none"/>
      </w:rPr>
    </w:lvl>
    <w:lvl w:ilvl="8">
      <w:start w:val="1"/>
      <w:numFmt w:val="lowerLetter"/>
      <w:lvlText w:val="%9)"/>
      <w:lvlJc w:val="left"/>
      <w:rPr>
        <w:rFonts w:hint="default"/>
        <w:b w:val="0"/>
        <w:bCs w:val="0"/>
        <w:i w:val="0"/>
        <w:iCs w:val="0"/>
        <w:smallCaps w:val="0"/>
        <w:strike w:val="0"/>
        <w:color w:val="000000"/>
        <w:spacing w:val="0"/>
        <w:w w:val="100"/>
        <w:position w:val="0"/>
        <w:sz w:val="24"/>
        <w:szCs w:val="22"/>
        <w:u w:val="none"/>
      </w:rPr>
    </w:lvl>
  </w:abstractNum>
  <w:abstractNum w:abstractNumId="1" w15:restartNumberingAfterBreak="0">
    <w:nsid w:val="00B85236"/>
    <w:multiLevelType w:val="hybridMultilevel"/>
    <w:tmpl w:val="6BFAD538"/>
    <w:lvl w:ilvl="0" w:tplc="3ED6157A">
      <w:start w:val="1"/>
      <w:numFmt w:val="bullet"/>
      <w:lvlText w:val="•"/>
      <w:lvlJc w:val="left"/>
      <w:pPr>
        <w:tabs>
          <w:tab w:val="num" w:pos="720"/>
        </w:tabs>
        <w:ind w:left="720" w:hanging="360"/>
      </w:pPr>
      <w:rPr>
        <w:rFonts w:ascii="Arial" w:hAnsi="Arial" w:hint="default"/>
      </w:rPr>
    </w:lvl>
    <w:lvl w:ilvl="1" w:tplc="5E02C9BA">
      <w:numFmt w:val="bullet"/>
      <w:lvlText w:val="•"/>
      <w:lvlJc w:val="left"/>
      <w:pPr>
        <w:tabs>
          <w:tab w:val="num" w:pos="1440"/>
        </w:tabs>
        <w:ind w:left="1440" w:hanging="360"/>
      </w:pPr>
      <w:rPr>
        <w:rFonts w:ascii="Arial" w:hAnsi="Arial" w:hint="default"/>
      </w:rPr>
    </w:lvl>
    <w:lvl w:ilvl="2" w:tplc="6194C56A" w:tentative="1">
      <w:start w:val="1"/>
      <w:numFmt w:val="bullet"/>
      <w:lvlText w:val="•"/>
      <w:lvlJc w:val="left"/>
      <w:pPr>
        <w:tabs>
          <w:tab w:val="num" w:pos="2160"/>
        </w:tabs>
        <w:ind w:left="2160" w:hanging="360"/>
      </w:pPr>
      <w:rPr>
        <w:rFonts w:ascii="Arial" w:hAnsi="Arial" w:hint="default"/>
      </w:rPr>
    </w:lvl>
    <w:lvl w:ilvl="3" w:tplc="15908684" w:tentative="1">
      <w:start w:val="1"/>
      <w:numFmt w:val="bullet"/>
      <w:lvlText w:val="•"/>
      <w:lvlJc w:val="left"/>
      <w:pPr>
        <w:tabs>
          <w:tab w:val="num" w:pos="2880"/>
        </w:tabs>
        <w:ind w:left="2880" w:hanging="360"/>
      </w:pPr>
      <w:rPr>
        <w:rFonts w:ascii="Arial" w:hAnsi="Arial" w:hint="default"/>
      </w:rPr>
    </w:lvl>
    <w:lvl w:ilvl="4" w:tplc="E1BEBCDA" w:tentative="1">
      <w:start w:val="1"/>
      <w:numFmt w:val="bullet"/>
      <w:lvlText w:val="•"/>
      <w:lvlJc w:val="left"/>
      <w:pPr>
        <w:tabs>
          <w:tab w:val="num" w:pos="3600"/>
        </w:tabs>
        <w:ind w:left="3600" w:hanging="360"/>
      </w:pPr>
      <w:rPr>
        <w:rFonts w:ascii="Arial" w:hAnsi="Arial" w:hint="default"/>
      </w:rPr>
    </w:lvl>
    <w:lvl w:ilvl="5" w:tplc="7A8CD2C6" w:tentative="1">
      <w:start w:val="1"/>
      <w:numFmt w:val="bullet"/>
      <w:lvlText w:val="•"/>
      <w:lvlJc w:val="left"/>
      <w:pPr>
        <w:tabs>
          <w:tab w:val="num" w:pos="4320"/>
        </w:tabs>
        <w:ind w:left="4320" w:hanging="360"/>
      </w:pPr>
      <w:rPr>
        <w:rFonts w:ascii="Arial" w:hAnsi="Arial" w:hint="default"/>
      </w:rPr>
    </w:lvl>
    <w:lvl w:ilvl="6" w:tplc="8638B6FA" w:tentative="1">
      <w:start w:val="1"/>
      <w:numFmt w:val="bullet"/>
      <w:lvlText w:val="•"/>
      <w:lvlJc w:val="left"/>
      <w:pPr>
        <w:tabs>
          <w:tab w:val="num" w:pos="5040"/>
        </w:tabs>
        <w:ind w:left="5040" w:hanging="360"/>
      </w:pPr>
      <w:rPr>
        <w:rFonts w:ascii="Arial" w:hAnsi="Arial" w:hint="default"/>
      </w:rPr>
    </w:lvl>
    <w:lvl w:ilvl="7" w:tplc="169840A8" w:tentative="1">
      <w:start w:val="1"/>
      <w:numFmt w:val="bullet"/>
      <w:lvlText w:val="•"/>
      <w:lvlJc w:val="left"/>
      <w:pPr>
        <w:tabs>
          <w:tab w:val="num" w:pos="5760"/>
        </w:tabs>
        <w:ind w:left="5760" w:hanging="360"/>
      </w:pPr>
      <w:rPr>
        <w:rFonts w:ascii="Arial" w:hAnsi="Arial" w:hint="default"/>
      </w:rPr>
    </w:lvl>
    <w:lvl w:ilvl="8" w:tplc="CE46012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24C5962"/>
    <w:multiLevelType w:val="multilevel"/>
    <w:tmpl w:val="C0B685BC"/>
    <w:lvl w:ilvl="0">
      <w:start w:val="1"/>
      <w:numFmt w:val="decimal"/>
      <w:lvlText w:val="%1."/>
      <w:lvlJc w:val="left"/>
      <w:pPr>
        <w:tabs>
          <w:tab w:val="num" w:pos="420"/>
        </w:tabs>
        <w:ind w:left="420" w:hanging="420"/>
      </w:pPr>
      <w:rPr>
        <w:rFonts w:ascii="Arial" w:hAnsi="Arial" w:cs="Arial" w:hint="default"/>
      </w:rPr>
    </w:lvl>
    <w:lvl w:ilvl="1">
      <w:start w:val="1"/>
      <w:numFmt w:val="decimal"/>
      <w:pStyle w:val="NormlnArial"/>
      <w:lvlText w:val="%1.%2."/>
      <w:lvlJc w:val="left"/>
      <w:pPr>
        <w:tabs>
          <w:tab w:val="num" w:pos="1021"/>
        </w:tabs>
        <w:ind w:left="1021" w:hanging="601"/>
      </w:pPr>
      <w:rPr>
        <w:rFonts w:hint="default"/>
        <w:b w:val="0"/>
      </w:rPr>
    </w:lvl>
    <w:lvl w:ilvl="2">
      <w:start w:val="1"/>
      <w:numFmt w:val="decimal"/>
      <w:lvlText w:val="%3.%2.%1"/>
      <w:lvlJc w:val="left"/>
      <w:pPr>
        <w:tabs>
          <w:tab w:val="num" w:pos="567"/>
        </w:tabs>
        <w:ind w:left="567" w:hanging="567"/>
      </w:pPr>
      <w:rPr>
        <w:rFonts w:hint="default"/>
      </w:rPr>
    </w:lvl>
    <w:lvl w:ilvl="3">
      <w:start w:val="1"/>
      <w:numFmt w:val="decimal"/>
      <w:lvlText w:val="%3.%2.%1.%4."/>
      <w:lvlJc w:val="left"/>
      <w:pPr>
        <w:tabs>
          <w:tab w:val="num" w:pos="420"/>
        </w:tabs>
        <w:ind w:left="3232" w:hanging="3232"/>
      </w:pPr>
      <w:rPr>
        <w:rFonts w:hint="default"/>
      </w:rPr>
    </w:lvl>
    <w:lvl w:ilvl="4">
      <w:start w:val="1"/>
      <w:numFmt w:val="decimal"/>
      <w:lvlText w:val="%5.%1.%2.%3.%4."/>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520"/>
        </w:tabs>
        <w:ind w:left="2520" w:hanging="2520"/>
      </w:pPr>
      <w:rPr>
        <w:rFonts w:hint="default"/>
      </w:rPr>
    </w:lvl>
    <w:lvl w:ilvl="7">
      <w:start w:val="1"/>
      <w:numFmt w:val="decimal"/>
      <w:lvlText w:val="%1.%2.%3.%4.%5.%6.%7.%8."/>
      <w:lvlJc w:val="left"/>
      <w:pPr>
        <w:tabs>
          <w:tab w:val="num" w:pos="2880"/>
        </w:tabs>
        <w:ind w:left="2880" w:hanging="288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092F13DC"/>
    <w:multiLevelType w:val="multilevel"/>
    <w:tmpl w:val="D6C019CC"/>
    <w:lvl w:ilvl="0">
      <w:start w:val="1"/>
      <w:numFmt w:val="bullet"/>
      <w:pStyle w:val="odrky"/>
      <w:lvlText w:val=""/>
      <w:lvlJc w:val="left"/>
      <w:pPr>
        <w:tabs>
          <w:tab w:val="num" w:pos="1457"/>
        </w:tabs>
        <w:ind w:left="1457" w:hanging="360"/>
      </w:pPr>
      <w:rPr>
        <w:rFonts w:ascii="Symbol" w:hAnsi="Symbol" w:cs="Symbol" w:hint="default"/>
      </w:rPr>
    </w:lvl>
    <w:lvl w:ilvl="1">
      <w:start w:val="1"/>
      <w:numFmt w:val="bullet"/>
      <w:lvlText w:val="o"/>
      <w:lvlJc w:val="left"/>
      <w:pPr>
        <w:tabs>
          <w:tab w:val="num" w:pos="2177"/>
        </w:tabs>
        <w:ind w:left="2177" w:hanging="360"/>
      </w:pPr>
      <w:rPr>
        <w:rFonts w:ascii="Courier New" w:hAnsi="Courier New" w:cs="Courier New" w:hint="default"/>
      </w:rPr>
    </w:lvl>
    <w:lvl w:ilvl="2">
      <w:start w:val="1"/>
      <w:numFmt w:val="bullet"/>
      <w:lvlText w:val=""/>
      <w:lvlJc w:val="left"/>
      <w:pPr>
        <w:tabs>
          <w:tab w:val="num" w:pos="2897"/>
        </w:tabs>
        <w:ind w:left="2897" w:hanging="360"/>
      </w:pPr>
      <w:rPr>
        <w:rFonts w:ascii="Wingdings" w:hAnsi="Wingdings" w:cs="Wingdings" w:hint="default"/>
      </w:rPr>
    </w:lvl>
    <w:lvl w:ilvl="3">
      <w:start w:val="1"/>
      <w:numFmt w:val="bullet"/>
      <w:lvlText w:val=""/>
      <w:lvlJc w:val="left"/>
      <w:pPr>
        <w:tabs>
          <w:tab w:val="num" w:pos="3617"/>
        </w:tabs>
        <w:ind w:left="3617" w:hanging="360"/>
      </w:pPr>
      <w:rPr>
        <w:rFonts w:ascii="Symbol" w:hAnsi="Symbol" w:cs="Symbol" w:hint="default"/>
      </w:rPr>
    </w:lvl>
    <w:lvl w:ilvl="4">
      <w:start w:val="1"/>
      <w:numFmt w:val="bullet"/>
      <w:lvlText w:val="o"/>
      <w:lvlJc w:val="left"/>
      <w:pPr>
        <w:tabs>
          <w:tab w:val="num" w:pos="4337"/>
        </w:tabs>
        <w:ind w:left="4337" w:hanging="360"/>
      </w:pPr>
      <w:rPr>
        <w:rFonts w:ascii="Courier New" w:hAnsi="Courier New" w:cs="Courier New" w:hint="default"/>
      </w:rPr>
    </w:lvl>
    <w:lvl w:ilvl="5">
      <w:start w:val="1"/>
      <w:numFmt w:val="bullet"/>
      <w:lvlText w:val=""/>
      <w:lvlJc w:val="left"/>
      <w:pPr>
        <w:tabs>
          <w:tab w:val="num" w:pos="5057"/>
        </w:tabs>
        <w:ind w:left="5057" w:hanging="360"/>
      </w:pPr>
      <w:rPr>
        <w:rFonts w:ascii="Wingdings" w:hAnsi="Wingdings" w:cs="Wingdings" w:hint="default"/>
      </w:rPr>
    </w:lvl>
    <w:lvl w:ilvl="6">
      <w:start w:val="1"/>
      <w:numFmt w:val="bullet"/>
      <w:lvlText w:val=""/>
      <w:lvlJc w:val="left"/>
      <w:pPr>
        <w:tabs>
          <w:tab w:val="num" w:pos="5777"/>
        </w:tabs>
        <w:ind w:left="5777" w:hanging="360"/>
      </w:pPr>
      <w:rPr>
        <w:rFonts w:ascii="Symbol" w:hAnsi="Symbol" w:cs="Symbol" w:hint="default"/>
      </w:rPr>
    </w:lvl>
    <w:lvl w:ilvl="7">
      <w:start w:val="1"/>
      <w:numFmt w:val="bullet"/>
      <w:lvlText w:val="o"/>
      <w:lvlJc w:val="left"/>
      <w:pPr>
        <w:tabs>
          <w:tab w:val="num" w:pos="6497"/>
        </w:tabs>
        <w:ind w:left="6497" w:hanging="360"/>
      </w:pPr>
      <w:rPr>
        <w:rFonts w:ascii="Courier New" w:hAnsi="Courier New" w:cs="Courier New" w:hint="default"/>
      </w:rPr>
    </w:lvl>
    <w:lvl w:ilvl="8">
      <w:start w:val="1"/>
      <w:numFmt w:val="bullet"/>
      <w:lvlText w:val=""/>
      <w:lvlJc w:val="left"/>
      <w:pPr>
        <w:tabs>
          <w:tab w:val="num" w:pos="7217"/>
        </w:tabs>
        <w:ind w:left="7217" w:hanging="360"/>
      </w:pPr>
      <w:rPr>
        <w:rFonts w:ascii="Wingdings" w:hAnsi="Wingdings" w:cs="Wingdings" w:hint="default"/>
      </w:rPr>
    </w:lvl>
  </w:abstractNum>
  <w:abstractNum w:abstractNumId="4" w15:restartNumberingAfterBreak="0">
    <w:nsid w:val="12451DB7"/>
    <w:multiLevelType w:val="hybridMultilevel"/>
    <w:tmpl w:val="FA9CCF18"/>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4B19AD"/>
    <w:multiLevelType w:val="multilevel"/>
    <w:tmpl w:val="6502630E"/>
    <w:lvl w:ilvl="0">
      <w:start w:val="1"/>
      <w:numFmt w:val="bullet"/>
      <w:pStyle w:val="Zhlav"/>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1E5720F6"/>
    <w:multiLevelType w:val="hybridMultilevel"/>
    <w:tmpl w:val="F390785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3DD1A3B"/>
    <w:multiLevelType w:val="singleLevel"/>
    <w:tmpl w:val="045CC0DC"/>
    <w:lvl w:ilvl="0">
      <w:start w:val="1"/>
      <w:numFmt w:val="lowerLetter"/>
      <w:pStyle w:val="psmena"/>
      <w:lvlText w:val="%1)"/>
      <w:lvlJc w:val="left"/>
      <w:pPr>
        <w:tabs>
          <w:tab w:val="num" w:pos="360"/>
        </w:tabs>
        <w:ind w:left="360" w:hanging="360"/>
      </w:pPr>
    </w:lvl>
  </w:abstractNum>
  <w:abstractNum w:abstractNumId="8" w15:restartNumberingAfterBreak="0">
    <w:nsid w:val="32F06E3F"/>
    <w:multiLevelType w:val="hybridMultilevel"/>
    <w:tmpl w:val="743EF2B8"/>
    <w:lvl w:ilvl="0" w:tplc="771E56F8">
      <w:start w:val="1"/>
      <w:numFmt w:val="bullet"/>
      <w:lvlText w:val=""/>
      <w:lvlJc w:val="left"/>
      <w:pPr>
        <w:ind w:left="1431" w:hanging="360"/>
      </w:pPr>
      <w:rPr>
        <w:rFonts w:ascii="Symbol" w:hAnsi="Symbol" w:hint="default"/>
      </w:rPr>
    </w:lvl>
    <w:lvl w:ilvl="1" w:tplc="04050003">
      <w:start w:val="1"/>
      <w:numFmt w:val="bullet"/>
      <w:lvlText w:val="o"/>
      <w:lvlJc w:val="left"/>
      <w:pPr>
        <w:ind w:left="2151" w:hanging="360"/>
      </w:pPr>
      <w:rPr>
        <w:rFonts w:ascii="Courier New" w:hAnsi="Courier New" w:cs="Courier New" w:hint="default"/>
      </w:rPr>
    </w:lvl>
    <w:lvl w:ilvl="2" w:tplc="04050005" w:tentative="1">
      <w:start w:val="1"/>
      <w:numFmt w:val="bullet"/>
      <w:lvlText w:val=""/>
      <w:lvlJc w:val="left"/>
      <w:pPr>
        <w:ind w:left="2871" w:hanging="360"/>
      </w:pPr>
      <w:rPr>
        <w:rFonts w:ascii="Wingdings" w:hAnsi="Wingdings" w:hint="default"/>
      </w:rPr>
    </w:lvl>
    <w:lvl w:ilvl="3" w:tplc="04050001" w:tentative="1">
      <w:start w:val="1"/>
      <w:numFmt w:val="bullet"/>
      <w:lvlText w:val=""/>
      <w:lvlJc w:val="left"/>
      <w:pPr>
        <w:ind w:left="3591" w:hanging="360"/>
      </w:pPr>
      <w:rPr>
        <w:rFonts w:ascii="Symbol" w:hAnsi="Symbol" w:hint="default"/>
      </w:rPr>
    </w:lvl>
    <w:lvl w:ilvl="4" w:tplc="04050003" w:tentative="1">
      <w:start w:val="1"/>
      <w:numFmt w:val="bullet"/>
      <w:lvlText w:val="o"/>
      <w:lvlJc w:val="left"/>
      <w:pPr>
        <w:ind w:left="4311" w:hanging="360"/>
      </w:pPr>
      <w:rPr>
        <w:rFonts w:ascii="Courier New" w:hAnsi="Courier New" w:cs="Courier New" w:hint="default"/>
      </w:rPr>
    </w:lvl>
    <w:lvl w:ilvl="5" w:tplc="04050005" w:tentative="1">
      <w:start w:val="1"/>
      <w:numFmt w:val="bullet"/>
      <w:lvlText w:val=""/>
      <w:lvlJc w:val="left"/>
      <w:pPr>
        <w:ind w:left="5031" w:hanging="360"/>
      </w:pPr>
      <w:rPr>
        <w:rFonts w:ascii="Wingdings" w:hAnsi="Wingdings" w:hint="default"/>
      </w:rPr>
    </w:lvl>
    <w:lvl w:ilvl="6" w:tplc="04050001" w:tentative="1">
      <w:start w:val="1"/>
      <w:numFmt w:val="bullet"/>
      <w:lvlText w:val=""/>
      <w:lvlJc w:val="left"/>
      <w:pPr>
        <w:ind w:left="5751" w:hanging="360"/>
      </w:pPr>
      <w:rPr>
        <w:rFonts w:ascii="Symbol" w:hAnsi="Symbol" w:hint="default"/>
      </w:rPr>
    </w:lvl>
    <w:lvl w:ilvl="7" w:tplc="04050003" w:tentative="1">
      <w:start w:val="1"/>
      <w:numFmt w:val="bullet"/>
      <w:lvlText w:val="o"/>
      <w:lvlJc w:val="left"/>
      <w:pPr>
        <w:ind w:left="6471" w:hanging="360"/>
      </w:pPr>
      <w:rPr>
        <w:rFonts w:ascii="Courier New" w:hAnsi="Courier New" w:cs="Courier New" w:hint="default"/>
      </w:rPr>
    </w:lvl>
    <w:lvl w:ilvl="8" w:tplc="04050005" w:tentative="1">
      <w:start w:val="1"/>
      <w:numFmt w:val="bullet"/>
      <w:lvlText w:val=""/>
      <w:lvlJc w:val="left"/>
      <w:pPr>
        <w:ind w:left="7191" w:hanging="360"/>
      </w:pPr>
      <w:rPr>
        <w:rFonts w:ascii="Wingdings" w:hAnsi="Wingdings" w:hint="default"/>
      </w:rPr>
    </w:lvl>
  </w:abstractNum>
  <w:abstractNum w:abstractNumId="9" w15:restartNumberingAfterBreak="0">
    <w:nsid w:val="33A74AB1"/>
    <w:multiLevelType w:val="hybridMultilevel"/>
    <w:tmpl w:val="66F05F18"/>
    <w:lvl w:ilvl="0" w:tplc="818A1200">
      <w:start w:val="1"/>
      <w:numFmt w:val="bullet"/>
      <w:lvlText w:val="•"/>
      <w:lvlJc w:val="left"/>
      <w:pPr>
        <w:tabs>
          <w:tab w:val="num" w:pos="720"/>
        </w:tabs>
        <w:ind w:left="720" w:hanging="360"/>
      </w:pPr>
      <w:rPr>
        <w:rFonts w:ascii="Arial" w:hAnsi="Arial" w:hint="default"/>
      </w:rPr>
    </w:lvl>
    <w:lvl w:ilvl="1" w:tplc="FCD2A65A" w:tentative="1">
      <w:start w:val="1"/>
      <w:numFmt w:val="bullet"/>
      <w:lvlText w:val="•"/>
      <w:lvlJc w:val="left"/>
      <w:pPr>
        <w:tabs>
          <w:tab w:val="num" w:pos="1440"/>
        </w:tabs>
        <w:ind w:left="1440" w:hanging="360"/>
      </w:pPr>
      <w:rPr>
        <w:rFonts w:ascii="Arial" w:hAnsi="Arial" w:hint="default"/>
      </w:rPr>
    </w:lvl>
    <w:lvl w:ilvl="2" w:tplc="43D0F80C" w:tentative="1">
      <w:start w:val="1"/>
      <w:numFmt w:val="bullet"/>
      <w:lvlText w:val="•"/>
      <w:lvlJc w:val="left"/>
      <w:pPr>
        <w:tabs>
          <w:tab w:val="num" w:pos="2160"/>
        </w:tabs>
        <w:ind w:left="2160" w:hanging="360"/>
      </w:pPr>
      <w:rPr>
        <w:rFonts w:ascii="Arial" w:hAnsi="Arial" w:hint="default"/>
      </w:rPr>
    </w:lvl>
    <w:lvl w:ilvl="3" w:tplc="81F62310" w:tentative="1">
      <w:start w:val="1"/>
      <w:numFmt w:val="bullet"/>
      <w:lvlText w:val="•"/>
      <w:lvlJc w:val="left"/>
      <w:pPr>
        <w:tabs>
          <w:tab w:val="num" w:pos="2880"/>
        </w:tabs>
        <w:ind w:left="2880" w:hanging="360"/>
      </w:pPr>
      <w:rPr>
        <w:rFonts w:ascii="Arial" w:hAnsi="Arial" w:hint="default"/>
      </w:rPr>
    </w:lvl>
    <w:lvl w:ilvl="4" w:tplc="9EC8FD1E" w:tentative="1">
      <w:start w:val="1"/>
      <w:numFmt w:val="bullet"/>
      <w:lvlText w:val="•"/>
      <w:lvlJc w:val="left"/>
      <w:pPr>
        <w:tabs>
          <w:tab w:val="num" w:pos="3600"/>
        </w:tabs>
        <w:ind w:left="3600" w:hanging="360"/>
      </w:pPr>
      <w:rPr>
        <w:rFonts w:ascii="Arial" w:hAnsi="Arial" w:hint="default"/>
      </w:rPr>
    </w:lvl>
    <w:lvl w:ilvl="5" w:tplc="243A215E" w:tentative="1">
      <w:start w:val="1"/>
      <w:numFmt w:val="bullet"/>
      <w:lvlText w:val="•"/>
      <w:lvlJc w:val="left"/>
      <w:pPr>
        <w:tabs>
          <w:tab w:val="num" w:pos="4320"/>
        </w:tabs>
        <w:ind w:left="4320" w:hanging="360"/>
      </w:pPr>
      <w:rPr>
        <w:rFonts w:ascii="Arial" w:hAnsi="Arial" w:hint="default"/>
      </w:rPr>
    </w:lvl>
    <w:lvl w:ilvl="6" w:tplc="86DAF5C6" w:tentative="1">
      <w:start w:val="1"/>
      <w:numFmt w:val="bullet"/>
      <w:lvlText w:val="•"/>
      <w:lvlJc w:val="left"/>
      <w:pPr>
        <w:tabs>
          <w:tab w:val="num" w:pos="5040"/>
        </w:tabs>
        <w:ind w:left="5040" w:hanging="360"/>
      </w:pPr>
      <w:rPr>
        <w:rFonts w:ascii="Arial" w:hAnsi="Arial" w:hint="default"/>
      </w:rPr>
    </w:lvl>
    <w:lvl w:ilvl="7" w:tplc="795AD5E0" w:tentative="1">
      <w:start w:val="1"/>
      <w:numFmt w:val="bullet"/>
      <w:lvlText w:val="•"/>
      <w:lvlJc w:val="left"/>
      <w:pPr>
        <w:tabs>
          <w:tab w:val="num" w:pos="5760"/>
        </w:tabs>
        <w:ind w:left="5760" w:hanging="360"/>
      </w:pPr>
      <w:rPr>
        <w:rFonts w:ascii="Arial" w:hAnsi="Arial" w:hint="default"/>
      </w:rPr>
    </w:lvl>
    <w:lvl w:ilvl="8" w:tplc="A154945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35B52F27"/>
    <w:multiLevelType w:val="hybridMultilevel"/>
    <w:tmpl w:val="35E03DBA"/>
    <w:lvl w:ilvl="0" w:tplc="5C081D60">
      <w:start w:val="1"/>
      <w:numFmt w:val="bullet"/>
      <w:pStyle w:val="Odrky0"/>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1" w15:restartNumberingAfterBreak="0">
    <w:nsid w:val="3AEE0A71"/>
    <w:multiLevelType w:val="multilevel"/>
    <w:tmpl w:val="652CA030"/>
    <w:lvl w:ilvl="0">
      <w:start w:val="1"/>
      <w:numFmt w:val="decimal"/>
      <w:pStyle w:val="Nadpis1"/>
      <w:lvlText w:val="ČLÁNEK %1."/>
      <w:lvlJc w:val="left"/>
      <w:pPr>
        <w:ind w:left="432" w:hanging="432"/>
      </w:pPr>
      <w:rPr>
        <w:rFonts w:hint="default"/>
      </w:rPr>
    </w:lvl>
    <w:lvl w:ilvl="1">
      <w:start w:val="1"/>
      <w:numFmt w:val="decimal"/>
      <w:pStyle w:val="Nadpis2"/>
      <w:lvlText w:val="%1.%2"/>
      <w:lvlJc w:val="left"/>
      <w:pPr>
        <w:ind w:left="576" w:hanging="576"/>
      </w:pPr>
      <w:rPr>
        <w:rFonts w:hint="default"/>
      </w:rPr>
    </w:lvl>
    <w:lvl w:ilvl="2">
      <w:start w:val="1"/>
      <w:numFmt w:val="decimal"/>
      <w:pStyle w:val="Nadpis3"/>
      <w:lvlText w:val="%1.%2.%3"/>
      <w:lvlJc w:val="left"/>
      <w:pPr>
        <w:ind w:left="720" w:hanging="720"/>
      </w:pPr>
      <w:rPr>
        <w:rFonts w:hint="default"/>
      </w:rPr>
    </w:lvl>
    <w:lvl w:ilvl="3">
      <w:start w:val="1"/>
      <w:numFmt w:val="decimal"/>
      <w:pStyle w:val="Nadpis4"/>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3B463036"/>
    <w:multiLevelType w:val="hybridMultilevel"/>
    <w:tmpl w:val="74207110"/>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3" w15:restartNumberingAfterBreak="0">
    <w:nsid w:val="3E545C0B"/>
    <w:multiLevelType w:val="multilevel"/>
    <w:tmpl w:val="8B28E228"/>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rPr>
        <w:color w:val="auto"/>
      </w:r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4" w15:restartNumberingAfterBreak="0">
    <w:nsid w:val="3E963032"/>
    <w:multiLevelType w:val="multilevel"/>
    <w:tmpl w:val="85C68610"/>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pStyle w:val="slovn2"/>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5B9103A1"/>
    <w:multiLevelType w:val="multilevel"/>
    <w:tmpl w:val="CF240CE8"/>
    <w:lvl w:ilvl="0">
      <w:start w:val="1"/>
      <w:numFmt w:val="bullet"/>
      <w:pStyle w:val="Styl2"/>
      <w:lvlText w:val=""/>
      <w:lvlJc w:val="left"/>
      <w:pPr>
        <w:tabs>
          <w:tab w:val="num" w:pos="720"/>
        </w:tabs>
        <w:ind w:left="720" w:hanging="360"/>
      </w:pPr>
      <w:rPr>
        <w:rFonts w:ascii="Wingdings" w:hAnsi="Wingdings" w:cs="Wingdings" w:hint="default"/>
        <w:sz w:val="16"/>
        <w:szCs w:val="16"/>
      </w:rPr>
    </w:lvl>
    <w:lvl w:ilvl="1">
      <w:start w:val="1"/>
      <w:numFmt w:val="decimal"/>
      <w:lvlText w:val="%2."/>
      <w:lvlJc w:val="left"/>
      <w:pPr>
        <w:tabs>
          <w:tab w:val="num" w:pos="1534"/>
        </w:tabs>
        <w:ind w:left="1534" w:hanging="454"/>
      </w:pPr>
      <w:rPr>
        <w:rFont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6" w15:restartNumberingAfterBreak="0">
    <w:nsid w:val="5E244D37"/>
    <w:multiLevelType w:val="multilevel"/>
    <w:tmpl w:val="FA5E8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20599626">
    <w:abstractNumId w:val="14"/>
  </w:num>
  <w:num w:numId="2" w16cid:durableId="1698699771">
    <w:abstractNumId w:val="3"/>
  </w:num>
  <w:num w:numId="3" w16cid:durableId="556361947">
    <w:abstractNumId w:val="15"/>
  </w:num>
  <w:num w:numId="4" w16cid:durableId="1952857111">
    <w:abstractNumId w:val="7"/>
  </w:num>
  <w:num w:numId="5" w16cid:durableId="20404869">
    <w:abstractNumId w:val="2"/>
  </w:num>
  <w:num w:numId="6" w16cid:durableId="1599950223">
    <w:abstractNumId w:val="5"/>
  </w:num>
  <w:num w:numId="7" w16cid:durableId="1903439861">
    <w:abstractNumId w:val="4"/>
  </w:num>
  <w:num w:numId="8" w16cid:durableId="627130580">
    <w:abstractNumId w:val="11"/>
  </w:num>
  <w:num w:numId="9" w16cid:durableId="452096700">
    <w:abstractNumId w:val="0"/>
  </w:num>
  <w:num w:numId="10" w16cid:durableId="661664516">
    <w:abstractNumId w:val="10"/>
  </w:num>
  <w:num w:numId="11" w16cid:durableId="194928278">
    <w:abstractNumId w:val="8"/>
  </w:num>
  <w:num w:numId="12" w16cid:durableId="13029646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3089128">
    <w:abstractNumId w:val="13"/>
  </w:num>
  <w:num w:numId="14" w16cid:durableId="1300767461">
    <w:abstractNumId w:val="9"/>
  </w:num>
  <w:num w:numId="15" w16cid:durableId="940332268">
    <w:abstractNumId w:val="1"/>
  </w:num>
  <w:num w:numId="16" w16cid:durableId="587664753">
    <w:abstractNumId w:val="0"/>
  </w:num>
  <w:num w:numId="17" w16cid:durableId="662199241">
    <w:abstractNumId w:val="12"/>
  </w:num>
  <w:num w:numId="18" w16cid:durableId="1950426257">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numFmt w:val="lowerRoman"/>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23B"/>
    <w:rsid w:val="00000159"/>
    <w:rsid w:val="00000632"/>
    <w:rsid w:val="0000084A"/>
    <w:rsid w:val="00002960"/>
    <w:rsid w:val="00002F83"/>
    <w:rsid w:val="00005B36"/>
    <w:rsid w:val="00005BA6"/>
    <w:rsid w:val="000061A5"/>
    <w:rsid w:val="00006CB8"/>
    <w:rsid w:val="00007ECD"/>
    <w:rsid w:val="000104A7"/>
    <w:rsid w:val="00010750"/>
    <w:rsid w:val="00010BC9"/>
    <w:rsid w:val="00011838"/>
    <w:rsid w:val="000141B5"/>
    <w:rsid w:val="00014C16"/>
    <w:rsid w:val="0001505C"/>
    <w:rsid w:val="000157BA"/>
    <w:rsid w:val="00016C18"/>
    <w:rsid w:val="000219D2"/>
    <w:rsid w:val="00022216"/>
    <w:rsid w:val="00022E4B"/>
    <w:rsid w:val="0002458B"/>
    <w:rsid w:val="00026793"/>
    <w:rsid w:val="000275EB"/>
    <w:rsid w:val="00027610"/>
    <w:rsid w:val="00027C3F"/>
    <w:rsid w:val="00030092"/>
    <w:rsid w:val="00031A24"/>
    <w:rsid w:val="00032421"/>
    <w:rsid w:val="000340D8"/>
    <w:rsid w:val="00035970"/>
    <w:rsid w:val="00036F88"/>
    <w:rsid w:val="0003706B"/>
    <w:rsid w:val="00037412"/>
    <w:rsid w:val="00040420"/>
    <w:rsid w:val="00040E49"/>
    <w:rsid w:val="00041AC8"/>
    <w:rsid w:val="000436EC"/>
    <w:rsid w:val="00043D71"/>
    <w:rsid w:val="0004414C"/>
    <w:rsid w:val="00044648"/>
    <w:rsid w:val="00044E2F"/>
    <w:rsid w:val="000466F5"/>
    <w:rsid w:val="000505C9"/>
    <w:rsid w:val="00050654"/>
    <w:rsid w:val="00050A5D"/>
    <w:rsid w:val="00050A9B"/>
    <w:rsid w:val="00050DE0"/>
    <w:rsid w:val="00052BC1"/>
    <w:rsid w:val="00052E39"/>
    <w:rsid w:val="00052F68"/>
    <w:rsid w:val="000530B8"/>
    <w:rsid w:val="000564B7"/>
    <w:rsid w:val="000571B8"/>
    <w:rsid w:val="00057704"/>
    <w:rsid w:val="000600A5"/>
    <w:rsid w:val="000612A1"/>
    <w:rsid w:val="000615E5"/>
    <w:rsid w:val="000619DE"/>
    <w:rsid w:val="00064A8B"/>
    <w:rsid w:val="000655B0"/>
    <w:rsid w:val="000655E0"/>
    <w:rsid w:val="00067145"/>
    <w:rsid w:val="00067938"/>
    <w:rsid w:val="00071452"/>
    <w:rsid w:val="000715BF"/>
    <w:rsid w:val="000718B6"/>
    <w:rsid w:val="0007273E"/>
    <w:rsid w:val="00073CB1"/>
    <w:rsid w:val="000743F1"/>
    <w:rsid w:val="0007477D"/>
    <w:rsid w:val="000753B4"/>
    <w:rsid w:val="000759B9"/>
    <w:rsid w:val="000804D9"/>
    <w:rsid w:val="00082736"/>
    <w:rsid w:val="00083249"/>
    <w:rsid w:val="00083DFA"/>
    <w:rsid w:val="00085467"/>
    <w:rsid w:val="00085B91"/>
    <w:rsid w:val="00086505"/>
    <w:rsid w:val="00086943"/>
    <w:rsid w:val="000869BD"/>
    <w:rsid w:val="0008789F"/>
    <w:rsid w:val="00090037"/>
    <w:rsid w:val="00090229"/>
    <w:rsid w:val="00090C5B"/>
    <w:rsid w:val="000924F1"/>
    <w:rsid w:val="00092ADC"/>
    <w:rsid w:val="00093396"/>
    <w:rsid w:val="00093A5D"/>
    <w:rsid w:val="0009506C"/>
    <w:rsid w:val="00095558"/>
    <w:rsid w:val="00096B35"/>
    <w:rsid w:val="000A30BC"/>
    <w:rsid w:val="000A3F78"/>
    <w:rsid w:val="000A4978"/>
    <w:rsid w:val="000A5067"/>
    <w:rsid w:val="000A53F5"/>
    <w:rsid w:val="000A5BCC"/>
    <w:rsid w:val="000A7CDF"/>
    <w:rsid w:val="000B2523"/>
    <w:rsid w:val="000B261E"/>
    <w:rsid w:val="000B4A9B"/>
    <w:rsid w:val="000B604F"/>
    <w:rsid w:val="000B79EA"/>
    <w:rsid w:val="000C1622"/>
    <w:rsid w:val="000C2155"/>
    <w:rsid w:val="000C2892"/>
    <w:rsid w:val="000C307C"/>
    <w:rsid w:val="000C3D6A"/>
    <w:rsid w:val="000C4022"/>
    <w:rsid w:val="000C40DE"/>
    <w:rsid w:val="000C5797"/>
    <w:rsid w:val="000C5EC9"/>
    <w:rsid w:val="000C7888"/>
    <w:rsid w:val="000D19F6"/>
    <w:rsid w:val="000D23FA"/>
    <w:rsid w:val="000D2F90"/>
    <w:rsid w:val="000D43BF"/>
    <w:rsid w:val="000D7694"/>
    <w:rsid w:val="000E4B0D"/>
    <w:rsid w:val="000E5390"/>
    <w:rsid w:val="000F0140"/>
    <w:rsid w:val="000F014F"/>
    <w:rsid w:val="000F05E4"/>
    <w:rsid w:val="000F0FE4"/>
    <w:rsid w:val="000F29E5"/>
    <w:rsid w:val="000F31B1"/>
    <w:rsid w:val="000F3CF3"/>
    <w:rsid w:val="000F65A0"/>
    <w:rsid w:val="000F7516"/>
    <w:rsid w:val="00100513"/>
    <w:rsid w:val="0010069E"/>
    <w:rsid w:val="00101CEB"/>
    <w:rsid w:val="00102243"/>
    <w:rsid w:val="0010278F"/>
    <w:rsid w:val="001032CA"/>
    <w:rsid w:val="00104A4B"/>
    <w:rsid w:val="001067BE"/>
    <w:rsid w:val="00106D7D"/>
    <w:rsid w:val="00106E4B"/>
    <w:rsid w:val="00107BF6"/>
    <w:rsid w:val="00107DC5"/>
    <w:rsid w:val="00111301"/>
    <w:rsid w:val="0011135E"/>
    <w:rsid w:val="00112384"/>
    <w:rsid w:val="001137B5"/>
    <w:rsid w:val="00114536"/>
    <w:rsid w:val="001153E0"/>
    <w:rsid w:val="00124211"/>
    <w:rsid w:val="00126114"/>
    <w:rsid w:val="00126A81"/>
    <w:rsid w:val="0012708E"/>
    <w:rsid w:val="001271CF"/>
    <w:rsid w:val="001273DE"/>
    <w:rsid w:val="0013038B"/>
    <w:rsid w:val="00134996"/>
    <w:rsid w:val="00134EF1"/>
    <w:rsid w:val="00135FCA"/>
    <w:rsid w:val="00136496"/>
    <w:rsid w:val="0013715D"/>
    <w:rsid w:val="00141958"/>
    <w:rsid w:val="001426D4"/>
    <w:rsid w:val="00142B20"/>
    <w:rsid w:val="00142DF2"/>
    <w:rsid w:val="00142F50"/>
    <w:rsid w:val="001438B5"/>
    <w:rsid w:val="0014414E"/>
    <w:rsid w:val="001456AE"/>
    <w:rsid w:val="0014790F"/>
    <w:rsid w:val="0014799E"/>
    <w:rsid w:val="00147E5C"/>
    <w:rsid w:val="00150663"/>
    <w:rsid w:val="00151675"/>
    <w:rsid w:val="001602B2"/>
    <w:rsid w:val="00160E98"/>
    <w:rsid w:val="00160FEA"/>
    <w:rsid w:val="001614FA"/>
    <w:rsid w:val="00162594"/>
    <w:rsid w:val="0016262C"/>
    <w:rsid w:val="00162E1B"/>
    <w:rsid w:val="001633FC"/>
    <w:rsid w:val="001638B2"/>
    <w:rsid w:val="00163CB2"/>
    <w:rsid w:val="001700F2"/>
    <w:rsid w:val="001718B1"/>
    <w:rsid w:val="001726C8"/>
    <w:rsid w:val="00173610"/>
    <w:rsid w:val="00173A7B"/>
    <w:rsid w:val="00173D68"/>
    <w:rsid w:val="00174433"/>
    <w:rsid w:val="00174E34"/>
    <w:rsid w:val="0017557C"/>
    <w:rsid w:val="00175E90"/>
    <w:rsid w:val="0017758E"/>
    <w:rsid w:val="00181211"/>
    <w:rsid w:val="001812A8"/>
    <w:rsid w:val="00182357"/>
    <w:rsid w:val="001860BF"/>
    <w:rsid w:val="00191813"/>
    <w:rsid w:val="00191E36"/>
    <w:rsid w:val="001933EC"/>
    <w:rsid w:val="0019418C"/>
    <w:rsid w:val="0019469C"/>
    <w:rsid w:val="001969D7"/>
    <w:rsid w:val="001969F9"/>
    <w:rsid w:val="001A145E"/>
    <w:rsid w:val="001A191E"/>
    <w:rsid w:val="001A27AE"/>
    <w:rsid w:val="001A2B79"/>
    <w:rsid w:val="001A446E"/>
    <w:rsid w:val="001A448B"/>
    <w:rsid w:val="001A5096"/>
    <w:rsid w:val="001A50E4"/>
    <w:rsid w:val="001A57EC"/>
    <w:rsid w:val="001A5C1A"/>
    <w:rsid w:val="001A5D83"/>
    <w:rsid w:val="001A5EA4"/>
    <w:rsid w:val="001A749C"/>
    <w:rsid w:val="001A7AF5"/>
    <w:rsid w:val="001B04DE"/>
    <w:rsid w:val="001B04FE"/>
    <w:rsid w:val="001B0A5F"/>
    <w:rsid w:val="001B0B89"/>
    <w:rsid w:val="001B1266"/>
    <w:rsid w:val="001B2435"/>
    <w:rsid w:val="001B3088"/>
    <w:rsid w:val="001B3741"/>
    <w:rsid w:val="001B4407"/>
    <w:rsid w:val="001B48D4"/>
    <w:rsid w:val="001B4C35"/>
    <w:rsid w:val="001B5225"/>
    <w:rsid w:val="001B5A42"/>
    <w:rsid w:val="001B6635"/>
    <w:rsid w:val="001C04C3"/>
    <w:rsid w:val="001C0830"/>
    <w:rsid w:val="001C093C"/>
    <w:rsid w:val="001C0F44"/>
    <w:rsid w:val="001C17BC"/>
    <w:rsid w:val="001C3ADD"/>
    <w:rsid w:val="001C4DC0"/>
    <w:rsid w:val="001C5799"/>
    <w:rsid w:val="001C5AF7"/>
    <w:rsid w:val="001C6F88"/>
    <w:rsid w:val="001C7143"/>
    <w:rsid w:val="001D052C"/>
    <w:rsid w:val="001D05A0"/>
    <w:rsid w:val="001D0935"/>
    <w:rsid w:val="001D1B7A"/>
    <w:rsid w:val="001D32B6"/>
    <w:rsid w:val="001D47CA"/>
    <w:rsid w:val="001D55E8"/>
    <w:rsid w:val="001D6AE4"/>
    <w:rsid w:val="001D774B"/>
    <w:rsid w:val="001E27E9"/>
    <w:rsid w:val="001E305F"/>
    <w:rsid w:val="001E3131"/>
    <w:rsid w:val="001E4423"/>
    <w:rsid w:val="001E4830"/>
    <w:rsid w:val="001E6573"/>
    <w:rsid w:val="001F08A9"/>
    <w:rsid w:val="001F1217"/>
    <w:rsid w:val="001F27B1"/>
    <w:rsid w:val="001F6318"/>
    <w:rsid w:val="00200144"/>
    <w:rsid w:val="00200AAC"/>
    <w:rsid w:val="00201B0A"/>
    <w:rsid w:val="00201E9E"/>
    <w:rsid w:val="00202567"/>
    <w:rsid w:val="00204072"/>
    <w:rsid w:val="002047DC"/>
    <w:rsid w:val="0020542E"/>
    <w:rsid w:val="00205D1A"/>
    <w:rsid w:val="0020789E"/>
    <w:rsid w:val="00207C84"/>
    <w:rsid w:val="0021004C"/>
    <w:rsid w:val="0021071A"/>
    <w:rsid w:val="00210755"/>
    <w:rsid w:val="00210A84"/>
    <w:rsid w:val="00211DE3"/>
    <w:rsid w:val="0021271C"/>
    <w:rsid w:val="002157F2"/>
    <w:rsid w:val="00215860"/>
    <w:rsid w:val="00217865"/>
    <w:rsid w:val="0022078C"/>
    <w:rsid w:val="002210C4"/>
    <w:rsid w:val="002213A6"/>
    <w:rsid w:val="002222AD"/>
    <w:rsid w:val="002228F1"/>
    <w:rsid w:val="00222F78"/>
    <w:rsid w:val="002230CC"/>
    <w:rsid w:val="0022470C"/>
    <w:rsid w:val="00224B43"/>
    <w:rsid w:val="00224C53"/>
    <w:rsid w:val="00225C70"/>
    <w:rsid w:val="0022606E"/>
    <w:rsid w:val="0023039E"/>
    <w:rsid w:val="00230B6D"/>
    <w:rsid w:val="00230CF0"/>
    <w:rsid w:val="00231686"/>
    <w:rsid w:val="00232BDE"/>
    <w:rsid w:val="00235D75"/>
    <w:rsid w:val="00236CD7"/>
    <w:rsid w:val="002370E2"/>
    <w:rsid w:val="0024019B"/>
    <w:rsid w:val="00241274"/>
    <w:rsid w:val="002425BB"/>
    <w:rsid w:val="00242959"/>
    <w:rsid w:val="0024300A"/>
    <w:rsid w:val="002433CB"/>
    <w:rsid w:val="0024590B"/>
    <w:rsid w:val="00245B7A"/>
    <w:rsid w:val="00247044"/>
    <w:rsid w:val="00247304"/>
    <w:rsid w:val="00247AC6"/>
    <w:rsid w:val="00247ADC"/>
    <w:rsid w:val="00247C67"/>
    <w:rsid w:val="00247DBB"/>
    <w:rsid w:val="00247E20"/>
    <w:rsid w:val="00254435"/>
    <w:rsid w:val="00255510"/>
    <w:rsid w:val="0025730B"/>
    <w:rsid w:val="00257B0A"/>
    <w:rsid w:val="002608F3"/>
    <w:rsid w:val="002618C1"/>
    <w:rsid w:val="00261A11"/>
    <w:rsid w:val="00262234"/>
    <w:rsid w:val="00262B1C"/>
    <w:rsid w:val="00264B25"/>
    <w:rsid w:val="00267604"/>
    <w:rsid w:val="002702D0"/>
    <w:rsid w:val="002714A0"/>
    <w:rsid w:val="00272DE2"/>
    <w:rsid w:val="002745C8"/>
    <w:rsid w:val="00275543"/>
    <w:rsid w:val="0027668B"/>
    <w:rsid w:val="00276E45"/>
    <w:rsid w:val="00277352"/>
    <w:rsid w:val="00277F54"/>
    <w:rsid w:val="00280381"/>
    <w:rsid w:val="00282BB2"/>
    <w:rsid w:val="00283129"/>
    <w:rsid w:val="00283B26"/>
    <w:rsid w:val="00293FBE"/>
    <w:rsid w:val="002959CD"/>
    <w:rsid w:val="00296C47"/>
    <w:rsid w:val="002976D4"/>
    <w:rsid w:val="00297875"/>
    <w:rsid w:val="002A0D81"/>
    <w:rsid w:val="002A188C"/>
    <w:rsid w:val="002A25B0"/>
    <w:rsid w:val="002A2B28"/>
    <w:rsid w:val="002A2CC2"/>
    <w:rsid w:val="002A40E2"/>
    <w:rsid w:val="002A458E"/>
    <w:rsid w:val="002A4EB5"/>
    <w:rsid w:val="002A5FF4"/>
    <w:rsid w:val="002A6735"/>
    <w:rsid w:val="002A6E04"/>
    <w:rsid w:val="002B0A10"/>
    <w:rsid w:val="002B0D2D"/>
    <w:rsid w:val="002B14CC"/>
    <w:rsid w:val="002B1775"/>
    <w:rsid w:val="002B2515"/>
    <w:rsid w:val="002B2CD7"/>
    <w:rsid w:val="002B322D"/>
    <w:rsid w:val="002B3261"/>
    <w:rsid w:val="002B3A44"/>
    <w:rsid w:val="002B5FD6"/>
    <w:rsid w:val="002B61B6"/>
    <w:rsid w:val="002B785E"/>
    <w:rsid w:val="002C0685"/>
    <w:rsid w:val="002C23F6"/>
    <w:rsid w:val="002C3D4F"/>
    <w:rsid w:val="002C4509"/>
    <w:rsid w:val="002C5EF0"/>
    <w:rsid w:val="002C60F8"/>
    <w:rsid w:val="002C611C"/>
    <w:rsid w:val="002D0060"/>
    <w:rsid w:val="002D01A3"/>
    <w:rsid w:val="002D0597"/>
    <w:rsid w:val="002D095C"/>
    <w:rsid w:val="002D1D8E"/>
    <w:rsid w:val="002D3A62"/>
    <w:rsid w:val="002D43BF"/>
    <w:rsid w:val="002D4BFE"/>
    <w:rsid w:val="002D4CC5"/>
    <w:rsid w:val="002D4D3B"/>
    <w:rsid w:val="002D6339"/>
    <w:rsid w:val="002D67B1"/>
    <w:rsid w:val="002D6B2C"/>
    <w:rsid w:val="002D6D88"/>
    <w:rsid w:val="002D7060"/>
    <w:rsid w:val="002E0ADD"/>
    <w:rsid w:val="002E1890"/>
    <w:rsid w:val="002E2DC0"/>
    <w:rsid w:val="002E2FB8"/>
    <w:rsid w:val="002E39B5"/>
    <w:rsid w:val="002E4459"/>
    <w:rsid w:val="002E5EC0"/>
    <w:rsid w:val="002E5FE7"/>
    <w:rsid w:val="002E6FE4"/>
    <w:rsid w:val="002F05B9"/>
    <w:rsid w:val="002F1891"/>
    <w:rsid w:val="002F1FDC"/>
    <w:rsid w:val="002F4D61"/>
    <w:rsid w:val="002F6859"/>
    <w:rsid w:val="002F6E76"/>
    <w:rsid w:val="002F7258"/>
    <w:rsid w:val="00300A78"/>
    <w:rsid w:val="00301080"/>
    <w:rsid w:val="00302A07"/>
    <w:rsid w:val="00304AAC"/>
    <w:rsid w:val="00304D9C"/>
    <w:rsid w:val="0030517B"/>
    <w:rsid w:val="003051EE"/>
    <w:rsid w:val="003054E4"/>
    <w:rsid w:val="00306054"/>
    <w:rsid w:val="003060F6"/>
    <w:rsid w:val="003061B9"/>
    <w:rsid w:val="003066D8"/>
    <w:rsid w:val="003104C8"/>
    <w:rsid w:val="0031144E"/>
    <w:rsid w:val="0031181F"/>
    <w:rsid w:val="00311865"/>
    <w:rsid w:val="003132BC"/>
    <w:rsid w:val="0031380C"/>
    <w:rsid w:val="00313A7A"/>
    <w:rsid w:val="0031759B"/>
    <w:rsid w:val="003176EA"/>
    <w:rsid w:val="0032041E"/>
    <w:rsid w:val="00321EAB"/>
    <w:rsid w:val="003229FA"/>
    <w:rsid w:val="0032674C"/>
    <w:rsid w:val="00327034"/>
    <w:rsid w:val="00330AE1"/>
    <w:rsid w:val="00330BB5"/>
    <w:rsid w:val="003321EC"/>
    <w:rsid w:val="003346E7"/>
    <w:rsid w:val="00337C0D"/>
    <w:rsid w:val="00340A0F"/>
    <w:rsid w:val="003444C4"/>
    <w:rsid w:val="003454E3"/>
    <w:rsid w:val="00346013"/>
    <w:rsid w:val="00347030"/>
    <w:rsid w:val="0034770D"/>
    <w:rsid w:val="00351C44"/>
    <w:rsid w:val="0035240A"/>
    <w:rsid w:val="003524C9"/>
    <w:rsid w:val="00352E13"/>
    <w:rsid w:val="00352F88"/>
    <w:rsid w:val="00354FBD"/>
    <w:rsid w:val="00355087"/>
    <w:rsid w:val="003551F0"/>
    <w:rsid w:val="003554FA"/>
    <w:rsid w:val="00355871"/>
    <w:rsid w:val="003565F5"/>
    <w:rsid w:val="00357240"/>
    <w:rsid w:val="0035787F"/>
    <w:rsid w:val="0036026A"/>
    <w:rsid w:val="003606BD"/>
    <w:rsid w:val="0036150B"/>
    <w:rsid w:val="0036239A"/>
    <w:rsid w:val="003631D5"/>
    <w:rsid w:val="00363DD6"/>
    <w:rsid w:val="0036430E"/>
    <w:rsid w:val="00364F86"/>
    <w:rsid w:val="0036586D"/>
    <w:rsid w:val="00365D0F"/>
    <w:rsid w:val="00366173"/>
    <w:rsid w:val="00367821"/>
    <w:rsid w:val="00371575"/>
    <w:rsid w:val="003739EC"/>
    <w:rsid w:val="00374443"/>
    <w:rsid w:val="00374F10"/>
    <w:rsid w:val="0037565A"/>
    <w:rsid w:val="003756B4"/>
    <w:rsid w:val="003762AC"/>
    <w:rsid w:val="003772A6"/>
    <w:rsid w:val="00381B4C"/>
    <w:rsid w:val="00381DAB"/>
    <w:rsid w:val="003846BD"/>
    <w:rsid w:val="00385529"/>
    <w:rsid w:val="00385F46"/>
    <w:rsid w:val="00386D45"/>
    <w:rsid w:val="003906FB"/>
    <w:rsid w:val="00391299"/>
    <w:rsid w:val="00393CFC"/>
    <w:rsid w:val="0039465E"/>
    <w:rsid w:val="0039536B"/>
    <w:rsid w:val="00395F95"/>
    <w:rsid w:val="00396493"/>
    <w:rsid w:val="00396A23"/>
    <w:rsid w:val="003976B1"/>
    <w:rsid w:val="003A064B"/>
    <w:rsid w:val="003A0B95"/>
    <w:rsid w:val="003A0DFA"/>
    <w:rsid w:val="003A14FB"/>
    <w:rsid w:val="003A17BD"/>
    <w:rsid w:val="003A1C6B"/>
    <w:rsid w:val="003A1DEF"/>
    <w:rsid w:val="003A250C"/>
    <w:rsid w:val="003A258A"/>
    <w:rsid w:val="003A2674"/>
    <w:rsid w:val="003A47B7"/>
    <w:rsid w:val="003A56E4"/>
    <w:rsid w:val="003A5A04"/>
    <w:rsid w:val="003A6304"/>
    <w:rsid w:val="003B20CB"/>
    <w:rsid w:val="003B2349"/>
    <w:rsid w:val="003B32E3"/>
    <w:rsid w:val="003B3708"/>
    <w:rsid w:val="003B5767"/>
    <w:rsid w:val="003B5D5A"/>
    <w:rsid w:val="003B6C32"/>
    <w:rsid w:val="003C032F"/>
    <w:rsid w:val="003C09C8"/>
    <w:rsid w:val="003C21F4"/>
    <w:rsid w:val="003C34D1"/>
    <w:rsid w:val="003C486A"/>
    <w:rsid w:val="003C5016"/>
    <w:rsid w:val="003C5EA5"/>
    <w:rsid w:val="003C67F2"/>
    <w:rsid w:val="003C7F96"/>
    <w:rsid w:val="003D0112"/>
    <w:rsid w:val="003D08C6"/>
    <w:rsid w:val="003D2C4E"/>
    <w:rsid w:val="003D33E1"/>
    <w:rsid w:val="003D36EA"/>
    <w:rsid w:val="003D37A8"/>
    <w:rsid w:val="003D3848"/>
    <w:rsid w:val="003D4101"/>
    <w:rsid w:val="003D4323"/>
    <w:rsid w:val="003D4368"/>
    <w:rsid w:val="003D524E"/>
    <w:rsid w:val="003D7BB3"/>
    <w:rsid w:val="003E0653"/>
    <w:rsid w:val="003E0868"/>
    <w:rsid w:val="003E42A4"/>
    <w:rsid w:val="003E44C3"/>
    <w:rsid w:val="003E5199"/>
    <w:rsid w:val="003E5FA6"/>
    <w:rsid w:val="003E7370"/>
    <w:rsid w:val="003F11DB"/>
    <w:rsid w:val="003F1983"/>
    <w:rsid w:val="003F3131"/>
    <w:rsid w:val="003F5784"/>
    <w:rsid w:val="003F70CA"/>
    <w:rsid w:val="00400AF3"/>
    <w:rsid w:val="004037BD"/>
    <w:rsid w:val="00404A17"/>
    <w:rsid w:val="00404C3F"/>
    <w:rsid w:val="004062DD"/>
    <w:rsid w:val="00413EC4"/>
    <w:rsid w:val="00415539"/>
    <w:rsid w:val="00415A10"/>
    <w:rsid w:val="004164F6"/>
    <w:rsid w:val="00416F1F"/>
    <w:rsid w:val="004178B3"/>
    <w:rsid w:val="00420BD6"/>
    <w:rsid w:val="00420C5D"/>
    <w:rsid w:val="00420EAE"/>
    <w:rsid w:val="004231BC"/>
    <w:rsid w:val="004238EA"/>
    <w:rsid w:val="0042525A"/>
    <w:rsid w:val="0042534F"/>
    <w:rsid w:val="00430087"/>
    <w:rsid w:val="00430CF6"/>
    <w:rsid w:val="00430E82"/>
    <w:rsid w:val="00431ED7"/>
    <w:rsid w:val="0043601D"/>
    <w:rsid w:val="00436048"/>
    <w:rsid w:val="00436CB7"/>
    <w:rsid w:val="0044022A"/>
    <w:rsid w:val="00440921"/>
    <w:rsid w:val="00440D75"/>
    <w:rsid w:val="00444224"/>
    <w:rsid w:val="00445085"/>
    <w:rsid w:val="0044597B"/>
    <w:rsid w:val="00446E8D"/>
    <w:rsid w:val="00447C83"/>
    <w:rsid w:val="00452330"/>
    <w:rsid w:val="004538C4"/>
    <w:rsid w:val="00453B39"/>
    <w:rsid w:val="00453B4B"/>
    <w:rsid w:val="004551BA"/>
    <w:rsid w:val="00455300"/>
    <w:rsid w:val="00455AB1"/>
    <w:rsid w:val="004560CD"/>
    <w:rsid w:val="00457A81"/>
    <w:rsid w:val="00457FE2"/>
    <w:rsid w:val="0046075C"/>
    <w:rsid w:val="004612E0"/>
    <w:rsid w:val="00461DFA"/>
    <w:rsid w:val="0046561B"/>
    <w:rsid w:val="00465937"/>
    <w:rsid w:val="0046678C"/>
    <w:rsid w:val="00470EAE"/>
    <w:rsid w:val="00471671"/>
    <w:rsid w:val="004723CE"/>
    <w:rsid w:val="00472677"/>
    <w:rsid w:val="00472E0B"/>
    <w:rsid w:val="00472F3F"/>
    <w:rsid w:val="0047310C"/>
    <w:rsid w:val="00473938"/>
    <w:rsid w:val="004742F3"/>
    <w:rsid w:val="004750FF"/>
    <w:rsid w:val="004775B4"/>
    <w:rsid w:val="004800F1"/>
    <w:rsid w:val="004807D0"/>
    <w:rsid w:val="00482643"/>
    <w:rsid w:val="00482F02"/>
    <w:rsid w:val="004832C8"/>
    <w:rsid w:val="00485F53"/>
    <w:rsid w:val="0049027E"/>
    <w:rsid w:val="00490AEA"/>
    <w:rsid w:val="00490C2F"/>
    <w:rsid w:val="00491132"/>
    <w:rsid w:val="00491F58"/>
    <w:rsid w:val="0049272E"/>
    <w:rsid w:val="00494AFB"/>
    <w:rsid w:val="00496B20"/>
    <w:rsid w:val="00496CDB"/>
    <w:rsid w:val="00496F5F"/>
    <w:rsid w:val="0049759D"/>
    <w:rsid w:val="004A0CC2"/>
    <w:rsid w:val="004A194E"/>
    <w:rsid w:val="004A3D8E"/>
    <w:rsid w:val="004A488A"/>
    <w:rsid w:val="004A5F19"/>
    <w:rsid w:val="004A64C3"/>
    <w:rsid w:val="004B10AC"/>
    <w:rsid w:val="004B26C7"/>
    <w:rsid w:val="004B2D14"/>
    <w:rsid w:val="004B3257"/>
    <w:rsid w:val="004B3CE5"/>
    <w:rsid w:val="004B4637"/>
    <w:rsid w:val="004B4752"/>
    <w:rsid w:val="004B76FD"/>
    <w:rsid w:val="004C12C2"/>
    <w:rsid w:val="004C15F8"/>
    <w:rsid w:val="004C1D4D"/>
    <w:rsid w:val="004C3487"/>
    <w:rsid w:val="004C634B"/>
    <w:rsid w:val="004C69FD"/>
    <w:rsid w:val="004C6BEA"/>
    <w:rsid w:val="004C6E52"/>
    <w:rsid w:val="004C70C2"/>
    <w:rsid w:val="004C71FF"/>
    <w:rsid w:val="004C7438"/>
    <w:rsid w:val="004C7699"/>
    <w:rsid w:val="004D096F"/>
    <w:rsid w:val="004D114E"/>
    <w:rsid w:val="004D39CA"/>
    <w:rsid w:val="004D5562"/>
    <w:rsid w:val="004D69B1"/>
    <w:rsid w:val="004D7B4C"/>
    <w:rsid w:val="004D7D50"/>
    <w:rsid w:val="004E0194"/>
    <w:rsid w:val="004E073D"/>
    <w:rsid w:val="004E124B"/>
    <w:rsid w:val="004E1CD5"/>
    <w:rsid w:val="004E2CA5"/>
    <w:rsid w:val="004E5182"/>
    <w:rsid w:val="004E5409"/>
    <w:rsid w:val="004E556A"/>
    <w:rsid w:val="004E57B3"/>
    <w:rsid w:val="004E5B83"/>
    <w:rsid w:val="004E6C6A"/>
    <w:rsid w:val="004E77CA"/>
    <w:rsid w:val="004F06BA"/>
    <w:rsid w:val="004F2588"/>
    <w:rsid w:val="004F2F12"/>
    <w:rsid w:val="004F41DA"/>
    <w:rsid w:val="004F56CE"/>
    <w:rsid w:val="004F57B9"/>
    <w:rsid w:val="004F5BAB"/>
    <w:rsid w:val="004F6B83"/>
    <w:rsid w:val="004F73CA"/>
    <w:rsid w:val="004F7B60"/>
    <w:rsid w:val="004F7D4B"/>
    <w:rsid w:val="005026EB"/>
    <w:rsid w:val="00502E4D"/>
    <w:rsid w:val="005031BB"/>
    <w:rsid w:val="00503565"/>
    <w:rsid w:val="00504F56"/>
    <w:rsid w:val="00506AAC"/>
    <w:rsid w:val="005106DD"/>
    <w:rsid w:val="005109FF"/>
    <w:rsid w:val="00510B53"/>
    <w:rsid w:val="00511231"/>
    <w:rsid w:val="00511F4B"/>
    <w:rsid w:val="005122F9"/>
    <w:rsid w:val="005138A0"/>
    <w:rsid w:val="005144D0"/>
    <w:rsid w:val="00515D21"/>
    <w:rsid w:val="00516EFC"/>
    <w:rsid w:val="005172F6"/>
    <w:rsid w:val="00517595"/>
    <w:rsid w:val="00521071"/>
    <w:rsid w:val="00521C2E"/>
    <w:rsid w:val="0052280D"/>
    <w:rsid w:val="00523705"/>
    <w:rsid w:val="00523C28"/>
    <w:rsid w:val="00523C5F"/>
    <w:rsid w:val="00523DF9"/>
    <w:rsid w:val="00525EB9"/>
    <w:rsid w:val="00525F01"/>
    <w:rsid w:val="00526350"/>
    <w:rsid w:val="005301AC"/>
    <w:rsid w:val="005328F7"/>
    <w:rsid w:val="00533324"/>
    <w:rsid w:val="005339FC"/>
    <w:rsid w:val="00533D2B"/>
    <w:rsid w:val="00533DE4"/>
    <w:rsid w:val="005344E5"/>
    <w:rsid w:val="00535E61"/>
    <w:rsid w:val="00535E9D"/>
    <w:rsid w:val="00540AE4"/>
    <w:rsid w:val="00544035"/>
    <w:rsid w:val="00545CFE"/>
    <w:rsid w:val="005469FB"/>
    <w:rsid w:val="00547654"/>
    <w:rsid w:val="00550379"/>
    <w:rsid w:val="00550440"/>
    <w:rsid w:val="0055044A"/>
    <w:rsid w:val="005507CB"/>
    <w:rsid w:val="005511B5"/>
    <w:rsid w:val="0055165C"/>
    <w:rsid w:val="00551844"/>
    <w:rsid w:val="00552299"/>
    <w:rsid w:val="00554786"/>
    <w:rsid w:val="00554A4A"/>
    <w:rsid w:val="00555927"/>
    <w:rsid w:val="00555B2C"/>
    <w:rsid w:val="00556C29"/>
    <w:rsid w:val="00560488"/>
    <w:rsid w:val="0056090D"/>
    <w:rsid w:val="00560C14"/>
    <w:rsid w:val="00560D2D"/>
    <w:rsid w:val="005610DF"/>
    <w:rsid w:val="00561921"/>
    <w:rsid w:val="005631FE"/>
    <w:rsid w:val="005632D6"/>
    <w:rsid w:val="0056453B"/>
    <w:rsid w:val="00565E43"/>
    <w:rsid w:val="0056703F"/>
    <w:rsid w:val="00567837"/>
    <w:rsid w:val="005702EB"/>
    <w:rsid w:val="00571B71"/>
    <w:rsid w:val="00571BE7"/>
    <w:rsid w:val="00573BA4"/>
    <w:rsid w:val="00574CCB"/>
    <w:rsid w:val="00575369"/>
    <w:rsid w:val="00576275"/>
    <w:rsid w:val="00577CC4"/>
    <w:rsid w:val="0058131E"/>
    <w:rsid w:val="005839CD"/>
    <w:rsid w:val="00584164"/>
    <w:rsid w:val="00584890"/>
    <w:rsid w:val="0058533F"/>
    <w:rsid w:val="00585815"/>
    <w:rsid w:val="005860D7"/>
    <w:rsid w:val="0058647E"/>
    <w:rsid w:val="005872F0"/>
    <w:rsid w:val="0058748B"/>
    <w:rsid w:val="00587C1F"/>
    <w:rsid w:val="00591197"/>
    <w:rsid w:val="00591393"/>
    <w:rsid w:val="005914B2"/>
    <w:rsid w:val="00591835"/>
    <w:rsid w:val="00592D06"/>
    <w:rsid w:val="005935C7"/>
    <w:rsid w:val="0059389D"/>
    <w:rsid w:val="005939BC"/>
    <w:rsid w:val="0059401A"/>
    <w:rsid w:val="005943C0"/>
    <w:rsid w:val="00597A51"/>
    <w:rsid w:val="00597C68"/>
    <w:rsid w:val="00597D60"/>
    <w:rsid w:val="005A13FF"/>
    <w:rsid w:val="005A2019"/>
    <w:rsid w:val="005A339F"/>
    <w:rsid w:val="005A3F29"/>
    <w:rsid w:val="005A4430"/>
    <w:rsid w:val="005A577A"/>
    <w:rsid w:val="005A6FCD"/>
    <w:rsid w:val="005A7269"/>
    <w:rsid w:val="005B0C4D"/>
    <w:rsid w:val="005B1F77"/>
    <w:rsid w:val="005B3CB3"/>
    <w:rsid w:val="005B4239"/>
    <w:rsid w:val="005B6017"/>
    <w:rsid w:val="005C09D8"/>
    <w:rsid w:val="005C0D5E"/>
    <w:rsid w:val="005C10B6"/>
    <w:rsid w:val="005C26EE"/>
    <w:rsid w:val="005C2924"/>
    <w:rsid w:val="005C376E"/>
    <w:rsid w:val="005C548C"/>
    <w:rsid w:val="005C6976"/>
    <w:rsid w:val="005C6E9E"/>
    <w:rsid w:val="005C7094"/>
    <w:rsid w:val="005D008C"/>
    <w:rsid w:val="005D179C"/>
    <w:rsid w:val="005D32E5"/>
    <w:rsid w:val="005D37F6"/>
    <w:rsid w:val="005D40F0"/>
    <w:rsid w:val="005D41AC"/>
    <w:rsid w:val="005D4939"/>
    <w:rsid w:val="005D4E98"/>
    <w:rsid w:val="005E0554"/>
    <w:rsid w:val="005E07A7"/>
    <w:rsid w:val="005E0E53"/>
    <w:rsid w:val="005E1958"/>
    <w:rsid w:val="005E1FF3"/>
    <w:rsid w:val="005E28D5"/>
    <w:rsid w:val="005E293A"/>
    <w:rsid w:val="005E2D49"/>
    <w:rsid w:val="005E3AEA"/>
    <w:rsid w:val="005E452D"/>
    <w:rsid w:val="005E60AB"/>
    <w:rsid w:val="005E67A7"/>
    <w:rsid w:val="005E75CA"/>
    <w:rsid w:val="005E7942"/>
    <w:rsid w:val="005F02D2"/>
    <w:rsid w:val="005F136B"/>
    <w:rsid w:val="005F3584"/>
    <w:rsid w:val="005F3592"/>
    <w:rsid w:val="005F44AC"/>
    <w:rsid w:val="005F503F"/>
    <w:rsid w:val="005F5963"/>
    <w:rsid w:val="005F6D53"/>
    <w:rsid w:val="006007E7"/>
    <w:rsid w:val="006029A9"/>
    <w:rsid w:val="00604330"/>
    <w:rsid w:val="00605775"/>
    <w:rsid w:val="0061127E"/>
    <w:rsid w:val="00611329"/>
    <w:rsid w:val="006123F2"/>
    <w:rsid w:val="00613DD9"/>
    <w:rsid w:val="00614D0E"/>
    <w:rsid w:val="00615733"/>
    <w:rsid w:val="006158C8"/>
    <w:rsid w:val="006174FB"/>
    <w:rsid w:val="006179D1"/>
    <w:rsid w:val="006203FC"/>
    <w:rsid w:val="00620549"/>
    <w:rsid w:val="00621A04"/>
    <w:rsid w:val="00622379"/>
    <w:rsid w:val="0062379B"/>
    <w:rsid w:val="00623E08"/>
    <w:rsid w:val="006245FC"/>
    <w:rsid w:val="00625F82"/>
    <w:rsid w:val="00631B63"/>
    <w:rsid w:val="00631E29"/>
    <w:rsid w:val="00632010"/>
    <w:rsid w:val="00632A39"/>
    <w:rsid w:val="00633192"/>
    <w:rsid w:val="00633DB8"/>
    <w:rsid w:val="00634EED"/>
    <w:rsid w:val="00636698"/>
    <w:rsid w:val="00636C0D"/>
    <w:rsid w:val="00640122"/>
    <w:rsid w:val="006403C8"/>
    <w:rsid w:val="00641E0C"/>
    <w:rsid w:val="006426E4"/>
    <w:rsid w:val="00643898"/>
    <w:rsid w:val="006443C6"/>
    <w:rsid w:val="00644B06"/>
    <w:rsid w:val="00645293"/>
    <w:rsid w:val="0064748F"/>
    <w:rsid w:val="00650469"/>
    <w:rsid w:val="00650C83"/>
    <w:rsid w:val="00650E92"/>
    <w:rsid w:val="00650F3C"/>
    <w:rsid w:val="006539B2"/>
    <w:rsid w:val="00655D0B"/>
    <w:rsid w:val="00655D8E"/>
    <w:rsid w:val="00655FCE"/>
    <w:rsid w:val="00657345"/>
    <w:rsid w:val="0066018B"/>
    <w:rsid w:val="00663243"/>
    <w:rsid w:val="006634F8"/>
    <w:rsid w:val="0066425F"/>
    <w:rsid w:val="006655FF"/>
    <w:rsid w:val="00665FD1"/>
    <w:rsid w:val="006673A1"/>
    <w:rsid w:val="006706E6"/>
    <w:rsid w:val="0067118A"/>
    <w:rsid w:val="006713BF"/>
    <w:rsid w:val="00671D3F"/>
    <w:rsid w:val="006728AF"/>
    <w:rsid w:val="00672BFD"/>
    <w:rsid w:val="00672E7C"/>
    <w:rsid w:val="00674518"/>
    <w:rsid w:val="00676734"/>
    <w:rsid w:val="0067688B"/>
    <w:rsid w:val="00676F2D"/>
    <w:rsid w:val="00677030"/>
    <w:rsid w:val="0067724F"/>
    <w:rsid w:val="00682E75"/>
    <w:rsid w:val="006836EE"/>
    <w:rsid w:val="00683806"/>
    <w:rsid w:val="00683851"/>
    <w:rsid w:val="00684907"/>
    <w:rsid w:val="00684FA6"/>
    <w:rsid w:val="0068680B"/>
    <w:rsid w:val="00687BAE"/>
    <w:rsid w:val="00687CEF"/>
    <w:rsid w:val="00691598"/>
    <w:rsid w:val="006925EC"/>
    <w:rsid w:val="0069384F"/>
    <w:rsid w:val="00694475"/>
    <w:rsid w:val="006947B7"/>
    <w:rsid w:val="006949DF"/>
    <w:rsid w:val="00694BAA"/>
    <w:rsid w:val="006961E2"/>
    <w:rsid w:val="00696685"/>
    <w:rsid w:val="006A08A4"/>
    <w:rsid w:val="006A1084"/>
    <w:rsid w:val="006A3C99"/>
    <w:rsid w:val="006A3DFC"/>
    <w:rsid w:val="006A59DF"/>
    <w:rsid w:val="006A6887"/>
    <w:rsid w:val="006A68D5"/>
    <w:rsid w:val="006A7751"/>
    <w:rsid w:val="006B0FE8"/>
    <w:rsid w:val="006B10AF"/>
    <w:rsid w:val="006B1514"/>
    <w:rsid w:val="006B29DF"/>
    <w:rsid w:val="006B386F"/>
    <w:rsid w:val="006B5CD2"/>
    <w:rsid w:val="006B7DE5"/>
    <w:rsid w:val="006C0242"/>
    <w:rsid w:val="006C29F6"/>
    <w:rsid w:val="006C30DF"/>
    <w:rsid w:val="006C41D8"/>
    <w:rsid w:val="006C542F"/>
    <w:rsid w:val="006C607D"/>
    <w:rsid w:val="006C7F98"/>
    <w:rsid w:val="006D24DF"/>
    <w:rsid w:val="006D2F9C"/>
    <w:rsid w:val="006D3506"/>
    <w:rsid w:val="006D47B6"/>
    <w:rsid w:val="006D55CB"/>
    <w:rsid w:val="006D66FB"/>
    <w:rsid w:val="006D7932"/>
    <w:rsid w:val="006E0C78"/>
    <w:rsid w:val="006E1F8F"/>
    <w:rsid w:val="006E25AA"/>
    <w:rsid w:val="006E424F"/>
    <w:rsid w:val="006E5171"/>
    <w:rsid w:val="006E605C"/>
    <w:rsid w:val="006E717B"/>
    <w:rsid w:val="006E7E2A"/>
    <w:rsid w:val="006F117C"/>
    <w:rsid w:val="006F2136"/>
    <w:rsid w:val="006F3839"/>
    <w:rsid w:val="006F4874"/>
    <w:rsid w:val="006F584E"/>
    <w:rsid w:val="006F70B4"/>
    <w:rsid w:val="007002C8"/>
    <w:rsid w:val="00700933"/>
    <w:rsid w:val="007011A6"/>
    <w:rsid w:val="007012BA"/>
    <w:rsid w:val="007019D1"/>
    <w:rsid w:val="00701CD2"/>
    <w:rsid w:val="00702541"/>
    <w:rsid w:val="00702D3C"/>
    <w:rsid w:val="007053EE"/>
    <w:rsid w:val="00705596"/>
    <w:rsid w:val="00706A6B"/>
    <w:rsid w:val="0070755A"/>
    <w:rsid w:val="0071314A"/>
    <w:rsid w:val="00714D07"/>
    <w:rsid w:val="00716273"/>
    <w:rsid w:val="0071659E"/>
    <w:rsid w:val="0071759F"/>
    <w:rsid w:val="007202B6"/>
    <w:rsid w:val="00721A4F"/>
    <w:rsid w:val="0072325C"/>
    <w:rsid w:val="00723288"/>
    <w:rsid w:val="007236E8"/>
    <w:rsid w:val="00723E9C"/>
    <w:rsid w:val="00724358"/>
    <w:rsid w:val="00724E07"/>
    <w:rsid w:val="00725BC5"/>
    <w:rsid w:val="00726F01"/>
    <w:rsid w:val="00727C6F"/>
    <w:rsid w:val="0073150B"/>
    <w:rsid w:val="0073462C"/>
    <w:rsid w:val="00734DED"/>
    <w:rsid w:val="007352B7"/>
    <w:rsid w:val="0073539F"/>
    <w:rsid w:val="00736537"/>
    <w:rsid w:val="00737B7F"/>
    <w:rsid w:val="007403E9"/>
    <w:rsid w:val="007419AC"/>
    <w:rsid w:val="007422B5"/>
    <w:rsid w:val="00745374"/>
    <w:rsid w:val="00745B5F"/>
    <w:rsid w:val="00746804"/>
    <w:rsid w:val="0074681B"/>
    <w:rsid w:val="00746AF5"/>
    <w:rsid w:val="00746C08"/>
    <w:rsid w:val="00751C7B"/>
    <w:rsid w:val="0075264A"/>
    <w:rsid w:val="007537D5"/>
    <w:rsid w:val="0075423A"/>
    <w:rsid w:val="00755C56"/>
    <w:rsid w:val="00756542"/>
    <w:rsid w:val="00760864"/>
    <w:rsid w:val="0076208E"/>
    <w:rsid w:val="00762571"/>
    <w:rsid w:val="00762D4A"/>
    <w:rsid w:val="007638D4"/>
    <w:rsid w:val="00763F1B"/>
    <w:rsid w:val="00764A9A"/>
    <w:rsid w:val="00765756"/>
    <w:rsid w:val="00765A8A"/>
    <w:rsid w:val="00765D84"/>
    <w:rsid w:val="007669D5"/>
    <w:rsid w:val="00766F24"/>
    <w:rsid w:val="00767ACD"/>
    <w:rsid w:val="007701D7"/>
    <w:rsid w:val="0077085D"/>
    <w:rsid w:val="00770B64"/>
    <w:rsid w:val="00772602"/>
    <w:rsid w:val="00772D38"/>
    <w:rsid w:val="0077349B"/>
    <w:rsid w:val="00773E32"/>
    <w:rsid w:val="007749AB"/>
    <w:rsid w:val="00775381"/>
    <w:rsid w:val="00777B31"/>
    <w:rsid w:val="0078014E"/>
    <w:rsid w:val="00782305"/>
    <w:rsid w:val="0078252E"/>
    <w:rsid w:val="0078365A"/>
    <w:rsid w:val="007876F3"/>
    <w:rsid w:val="00791785"/>
    <w:rsid w:val="00791BBB"/>
    <w:rsid w:val="0079279D"/>
    <w:rsid w:val="00793074"/>
    <w:rsid w:val="00793D24"/>
    <w:rsid w:val="00794833"/>
    <w:rsid w:val="00795A50"/>
    <w:rsid w:val="00795FF9"/>
    <w:rsid w:val="007963AE"/>
    <w:rsid w:val="007965A1"/>
    <w:rsid w:val="00796A2C"/>
    <w:rsid w:val="007A0443"/>
    <w:rsid w:val="007A068D"/>
    <w:rsid w:val="007A1F87"/>
    <w:rsid w:val="007A5881"/>
    <w:rsid w:val="007A63D6"/>
    <w:rsid w:val="007A792E"/>
    <w:rsid w:val="007B0247"/>
    <w:rsid w:val="007B0721"/>
    <w:rsid w:val="007B28DC"/>
    <w:rsid w:val="007B4945"/>
    <w:rsid w:val="007B494E"/>
    <w:rsid w:val="007B5696"/>
    <w:rsid w:val="007B78A8"/>
    <w:rsid w:val="007C1F3A"/>
    <w:rsid w:val="007C2075"/>
    <w:rsid w:val="007C2992"/>
    <w:rsid w:val="007C2B39"/>
    <w:rsid w:val="007C2C0C"/>
    <w:rsid w:val="007C5931"/>
    <w:rsid w:val="007C6646"/>
    <w:rsid w:val="007D1293"/>
    <w:rsid w:val="007D2609"/>
    <w:rsid w:val="007D32CA"/>
    <w:rsid w:val="007E07CF"/>
    <w:rsid w:val="007E1057"/>
    <w:rsid w:val="007E3EC3"/>
    <w:rsid w:val="007E4463"/>
    <w:rsid w:val="007E488D"/>
    <w:rsid w:val="007E4D86"/>
    <w:rsid w:val="007E5430"/>
    <w:rsid w:val="007E5721"/>
    <w:rsid w:val="007E6676"/>
    <w:rsid w:val="007E6A61"/>
    <w:rsid w:val="007E6C57"/>
    <w:rsid w:val="007E6F91"/>
    <w:rsid w:val="007E7F64"/>
    <w:rsid w:val="007E7F97"/>
    <w:rsid w:val="007F09B1"/>
    <w:rsid w:val="007F1DD9"/>
    <w:rsid w:val="007F21C9"/>
    <w:rsid w:val="007F24F2"/>
    <w:rsid w:val="007F352C"/>
    <w:rsid w:val="007F3936"/>
    <w:rsid w:val="007F393E"/>
    <w:rsid w:val="007F40E2"/>
    <w:rsid w:val="007F4F94"/>
    <w:rsid w:val="007F60E1"/>
    <w:rsid w:val="00801526"/>
    <w:rsid w:val="00801CF3"/>
    <w:rsid w:val="00802585"/>
    <w:rsid w:val="00803449"/>
    <w:rsid w:val="00803FB4"/>
    <w:rsid w:val="0080462C"/>
    <w:rsid w:val="00804CD7"/>
    <w:rsid w:val="00807803"/>
    <w:rsid w:val="00810490"/>
    <w:rsid w:val="008107D4"/>
    <w:rsid w:val="008124F1"/>
    <w:rsid w:val="008158E4"/>
    <w:rsid w:val="00815E67"/>
    <w:rsid w:val="008172A3"/>
    <w:rsid w:val="00820A69"/>
    <w:rsid w:val="00820DEB"/>
    <w:rsid w:val="0082159E"/>
    <w:rsid w:val="00822080"/>
    <w:rsid w:val="0082546D"/>
    <w:rsid w:val="00827426"/>
    <w:rsid w:val="00827D07"/>
    <w:rsid w:val="00830007"/>
    <w:rsid w:val="008302F3"/>
    <w:rsid w:val="00830786"/>
    <w:rsid w:val="00831E85"/>
    <w:rsid w:val="00832541"/>
    <w:rsid w:val="008329C6"/>
    <w:rsid w:val="00836847"/>
    <w:rsid w:val="008414F1"/>
    <w:rsid w:val="008420B5"/>
    <w:rsid w:val="00842524"/>
    <w:rsid w:val="00843C97"/>
    <w:rsid w:val="008441CF"/>
    <w:rsid w:val="008441F7"/>
    <w:rsid w:val="008465A5"/>
    <w:rsid w:val="008465B2"/>
    <w:rsid w:val="008467A7"/>
    <w:rsid w:val="00847761"/>
    <w:rsid w:val="00847E81"/>
    <w:rsid w:val="00851B34"/>
    <w:rsid w:val="00851B7C"/>
    <w:rsid w:val="00852E21"/>
    <w:rsid w:val="00853D8E"/>
    <w:rsid w:val="00856841"/>
    <w:rsid w:val="008607CE"/>
    <w:rsid w:val="00860BE9"/>
    <w:rsid w:val="008612DC"/>
    <w:rsid w:val="008621DB"/>
    <w:rsid w:val="008623B5"/>
    <w:rsid w:val="00863949"/>
    <w:rsid w:val="00865FA7"/>
    <w:rsid w:val="00867197"/>
    <w:rsid w:val="00867A68"/>
    <w:rsid w:val="00871A4E"/>
    <w:rsid w:val="00871B0A"/>
    <w:rsid w:val="00871D42"/>
    <w:rsid w:val="0087293A"/>
    <w:rsid w:val="00872E64"/>
    <w:rsid w:val="00873E51"/>
    <w:rsid w:val="00873F1C"/>
    <w:rsid w:val="008742C2"/>
    <w:rsid w:val="00875D37"/>
    <w:rsid w:val="0087612E"/>
    <w:rsid w:val="0087697C"/>
    <w:rsid w:val="00877F42"/>
    <w:rsid w:val="008811DF"/>
    <w:rsid w:val="00881C4D"/>
    <w:rsid w:val="00882E3C"/>
    <w:rsid w:val="008833DE"/>
    <w:rsid w:val="00883609"/>
    <w:rsid w:val="00883F9C"/>
    <w:rsid w:val="00885EC9"/>
    <w:rsid w:val="00886164"/>
    <w:rsid w:val="00887671"/>
    <w:rsid w:val="00887D69"/>
    <w:rsid w:val="00890481"/>
    <w:rsid w:val="008905B2"/>
    <w:rsid w:val="0089085A"/>
    <w:rsid w:val="00890EB2"/>
    <w:rsid w:val="008920EB"/>
    <w:rsid w:val="00892169"/>
    <w:rsid w:val="008946B9"/>
    <w:rsid w:val="00894881"/>
    <w:rsid w:val="00895691"/>
    <w:rsid w:val="00895EA2"/>
    <w:rsid w:val="008A0131"/>
    <w:rsid w:val="008A0475"/>
    <w:rsid w:val="008A0F8E"/>
    <w:rsid w:val="008A2270"/>
    <w:rsid w:val="008A250F"/>
    <w:rsid w:val="008A323B"/>
    <w:rsid w:val="008A3744"/>
    <w:rsid w:val="008A4803"/>
    <w:rsid w:val="008A4AED"/>
    <w:rsid w:val="008A53A1"/>
    <w:rsid w:val="008A743A"/>
    <w:rsid w:val="008A7E28"/>
    <w:rsid w:val="008B0555"/>
    <w:rsid w:val="008B068C"/>
    <w:rsid w:val="008B0709"/>
    <w:rsid w:val="008B1524"/>
    <w:rsid w:val="008B1F42"/>
    <w:rsid w:val="008B2ED8"/>
    <w:rsid w:val="008B2F53"/>
    <w:rsid w:val="008B3F61"/>
    <w:rsid w:val="008B46BA"/>
    <w:rsid w:val="008B5019"/>
    <w:rsid w:val="008C0017"/>
    <w:rsid w:val="008C14C4"/>
    <w:rsid w:val="008C1B6F"/>
    <w:rsid w:val="008C2A77"/>
    <w:rsid w:val="008C315A"/>
    <w:rsid w:val="008C36BB"/>
    <w:rsid w:val="008C50D7"/>
    <w:rsid w:val="008C6874"/>
    <w:rsid w:val="008C6EBC"/>
    <w:rsid w:val="008D270D"/>
    <w:rsid w:val="008D2AFA"/>
    <w:rsid w:val="008D42F9"/>
    <w:rsid w:val="008D5AF6"/>
    <w:rsid w:val="008D7AE8"/>
    <w:rsid w:val="008E1A23"/>
    <w:rsid w:val="008E3415"/>
    <w:rsid w:val="008E37E7"/>
    <w:rsid w:val="008E44F2"/>
    <w:rsid w:val="008E59B6"/>
    <w:rsid w:val="008E66D8"/>
    <w:rsid w:val="008E7280"/>
    <w:rsid w:val="008E7A9E"/>
    <w:rsid w:val="008F0987"/>
    <w:rsid w:val="008F2E40"/>
    <w:rsid w:val="008F5E56"/>
    <w:rsid w:val="008F62B2"/>
    <w:rsid w:val="008F69DB"/>
    <w:rsid w:val="00900482"/>
    <w:rsid w:val="00900552"/>
    <w:rsid w:val="00900BC1"/>
    <w:rsid w:val="00901210"/>
    <w:rsid w:val="00901225"/>
    <w:rsid w:val="00902E9F"/>
    <w:rsid w:val="009037CB"/>
    <w:rsid w:val="00904B6B"/>
    <w:rsid w:val="00905F2F"/>
    <w:rsid w:val="00906308"/>
    <w:rsid w:val="00906EB4"/>
    <w:rsid w:val="0090785B"/>
    <w:rsid w:val="00911793"/>
    <w:rsid w:val="00912B2A"/>
    <w:rsid w:val="00913438"/>
    <w:rsid w:val="009138A8"/>
    <w:rsid w:val="00913E99"/>
    <w:rsid w:val="00914400"/>
    <w:rsid w:val="0091481F"/>
    <w:rsid w:val="00914A9B"/>
    <w:rsid w:val="00915C8E"/>
    <w:rsid w:val="009168DE"/>
    <w:rsid w:val="00916C3F"/>
    <w:rsid w:val="00920EF5"/>
    <w:rsid w:val="0092112F"/>
    <w:rsid w:val="009234CF"/>
    <w:rsid w:val="00923D9B"/>
    <w:rsid w:val="009240F8"/>
    <w:rsid w:val="009242A7"/>
    <w:rsid w:val="009248F3"/>
    <w:rsid w:val="00925E8A"/>
    <w:rsid w:val="0093048D"/>
    <w:rsid w:val="00931554"/>
    <w:rsid w:val="0093235F"/>
    <w:rsid w:val="009332F5"/>
    <w:rsid w:val="00933C0C"/>
    <w:rsid w:val="00933F62"/>
    <w:rsid w:val="00935BA7"/>
    <w:rsid w:val="00936606"/>
    <w:rsid w:val="009366A9"/>
    <w:rsid w:val="009377E2"/>
    <w:rsid w:val="00937DFD"/>
    <w:rsid w:val="00940926"/>
    <w:rsid w:val="00940B17"/>
    <w:rsid w:val="00940C17"/>
    <w:rsid w:val="00941E64"/>
    <w:rsid w:val="009422AA"/>
    <w:rsid w:val="00944501"/>
    <w:rsid w:val="009451D0"/>
    <w:rsid w:val="00950520"/>
    <w:rsid w:val="00950D04"/>
    <w:rsid w:val="00952026"/>
    <w:rsid w:val="00952A18"/>
    <w:rsid w:val="00953916"/>
    <w:rsid w:val="00953EC1"/>
    <w:rsid w:val="009541CC"/>
    <w:rsid w:val="00954D75"/>
    <w:rsid w:val="009556CC"/>
    <w:rsid w:val="00955EA1"/>
    <w:rsid w:val="00957879"/>
    <w:rsid w:val="00957AC5"/>
    <w:rsid w:val="00957C0D"/>
    <w:rsid w:val="00957F12"/>
    <w:rsid w:val="00957F64"/>
    <w:rsid w:val="00960704"/>
    <w:rsid w:val="009635C5"/>
    <w:rsid w:val="00963A6C"/>
    <w:rsid w:val="00963B55"/>
    <w:rsid w:val="009648E2"/>
    <w:rsid w:val="00964AB1"/>
    <w:rsid w:val="0096588C"/>
    <w:rsid w:val="0096613A"/>
    <w:rsid w:val="009668F0"/>
    <w:rsid w:val="00966BFA"/>
    <w:rsid w:val="00966DCD"/>
    <w:rsid w:val="0096718A"/>
    <w:rsid w:val="009674E9"/>
    <w:rsid w:val="00967562"/>
    <w:rsid w:val="00967CF1"/>
    <w:rsid w:val="00970446"/>
    <w:rsid w:val="009712DC"/>
    <w:rsid w:val="0097133F"/>
    <w:rsid w:val="009726F4"/>
    <w:rsid w:val="009744C9"/>
    <w:rsid w:val="009747AB"/>
    <w:rsid w:val="00974FA7"/>
    <w:rsid w:val="009757E5"/>
    <w:rsid w:val="00975EAA"/>
    <w:rsid w:val="009767F6"/>
    <w:rsid w:val="0097751C"/>
    <w:rsid w:val="00977EE7"/>
    <w:rsid w:val="00980255"/>
    <w:rsid w:val="009804E3"/>
    <w:rsid w:val="00980518"/>
    <w:rsid w:val="0098100A"/>
    <w:rsid w:val="0098155A"/>
    <w:rsid w:val="009824E3"/>
    <w:rsid w:val="00982950"/>
    <w:rsid w:val="00982BF8"/>
    <w:rsid w:val="00983378"/>
    <w:rsid w:val="0098340E"/>
    <w:rsid w:val="00983A28"/>
    <w:rsid w:val="00984FA7"/>
    <w:rsid w:val="00985748"/>
    <w:rsid w:val="00985851"/>
    <w:rsid w:val="00985B37"/>
    <w:rsid w:val="00986357"/>
    <w:rsid w:val="009873AE"/>
    <w:rsid w:val="00992D4B"/>
    <w:rsid w:val="00995DDD"/>
    <w:rsid w:val="00996D8D"/>
    <w:rsid w:val="009A1536"/>
    <w:rsid w:val="009A286E"/>
    <w:rsid w:val="009A34E9"/>
    <w:rsid w:val="009A4373"/>
    <w:rsid w:val="009A69A2"/>
    <w:rsid w:val="009B16E8"/>
    <w:rsid w:val="009B1D6E"/>
    <w:rsid w:val="009B2EF8"/>
    <w:rsid w:val="009B5CF5"/>
    <w:rsid w:val="009B66EA"/>
    <w:rsid w:val="009B681D"/>
    <w:rsid w:val="009B6F95"/>
    <w:rsid w:val="009B709B"/>
    <w:rsid w:val="009C10AC"/>
    <w:rsid w:val="009C190C"/>
    <w:rsid w:val="009C26CA"/>
    <w:rsid w:val="009C2B54"/>
    <w:rsid w:val="009C49BD"/>
    <w:rsid w:val="009C517E"/>
    <w:rsid w:val="009C652D"/>
    <w:rsid w:val="009C6AF9"/>
    <w:rsid w:val="009D05AB"/>
    <w:rsid w:val="009D3167"/>
    <w:rsid w:val="009D47F5"/>
    <w:rsid w:val="009D4DC5"/>
    <w:rsid w:val="009D58AB"/>
    <w:rsid w:val="009D5CB8"/>
    <w:rsid w:val="009D62FF"/>
    <w:rsid w:val="009D7809"/>
    <w:rsid w:val="009D79A3"/>
    <w:rsid w:val="009D7B7C"/>
    <w:rsid w:val="009D7C45"/>
    <w:rsid w:val="009E1C38"/>
    <w:rsid w:val="009E4BE0"/>
    <w:rsid w:val="009E4CB2"/>
    <w:rsid w:val="009E5164"/>
    <w:rsid w:val="009E6D58"/>
    <w:rsid w:val="009E7DA6"/>
    <w:rsid w:val="009F1EFD"/>
    <w:rsid w:val="009F335E"/>
    <w:rsid w:val="009F3C17"/>
    <w:rsid w:val="00A010A8"/>
    <w:rsid w:val="00A01874"/>
    <w:rsid w:val="00A01C1B"/>
    <w:rsid w:val="00A01DC8"/>
    <w:rsid w:val="00A02140"/>
    <w:rsid w:val="00A030AD"/>
    <w:rsid w:val="00A03D8B"/>
    <w:rsid w:val="00A04AF2"/>
    <w:rsid w:val="00A054DF"/>
    <w:rsid w:val="00A05843"/>
    <w:rsid w:val="00A05D8B"/>
    <w:rsid w:val="00A06D2A"/>
    <w:rsid w:val="00A0787A"/>
    <w:rsid w:val="00A100E2"/>
    <w:rsid w:val="00A11E9F"/>
    <w:rsid w:val="00A12A2A"/>
    <w:rsid w:val="00A132C2"/>
    <w:rsid w:val="00A13CE0"/>
    <w:rsid w:val="00A15E8F"/>
    <w:rsid w:val="00A176BB"/>
    <w:rsid w:val="00A20D3B"/>
    <w:rsid w:val="00A21ED1"/>
    <w:rsid w:val="00A234D6"/>
    <w:rsid w:val="00A25519"/>
    <w:rsid w:val="00A2558B"/>
    <w:rsid w:val="00A26BEC"/>
    <w:rsid w:val="00A32520"/>
    <w:rsid w:val="00A32AA4"/>
    <w:rsid w:val="00A32AE3"/>
    <w:rsid w:val="00A3306D"/>
    <w:rsid w:val="00A3386D"/>
    <w:rsid w:val="00A35332"/>
    <w:rsid w:val="00A35BB4"/>
    <w:rsid w:val="00A36685"/>
    <w:rsid w:val="00A36AC2"/>
    <w:rsid w:val="00A37509"/>
    <w:rsid w:val="00A37C67"/>
    <w:rsid w:val="00A43E3F"/>
    <w:rsid w:val="00A43FBD"/>
    <w:rsid w:val="00A443C0"/>
    <w:rsid w:val="00A44A7A"/>
    <w:rsid w:val="00A45623"/>
    <w:rsid w:val="00A45911"/>
    <w:rsid w:val="00A45916"/>
    <w:rsid w:val="00A465C1"/>
    <w:rsid w:val="00A52A0A"/>
    <w:rsid w:val="00A55781"/>
    <w:rsid w:val="00A5669C"/>
    <w:rsid w:val="00A56744"/>
    <w:rsid w:val="00A56B7A"/>
    <w:rsid w:val="00A57A7B"/>
    <w:rsid w:val="00A618C8"/>
    <w:rsid w:val="00A62F61"/>
    <w:rsid w:val="00A63F5A"/>
    <w:rsid w:val="00A64B37"/>
    <w:rsid w:val="00A667D1"/>
    <w:rsid w:val="00A66934"/>
    <w:rsid w:val="00A71036"/>
    <w:rsid w:val="00A717A0"/>
    <w:rsid w:val="00A71BF4"/>
    <w:rsid w:val="00A71EF7"/>
    <w:rsid w:val="00A71FEE"/>
    <w:rsid w:val="00A74A43"/>
    <w:rsid w:val="00A74DFF"/>
    <w:rsid w:val="00A760D4"/>
    <w:rsid w:val="00A76709"/>
    <w:rsid w:val="00A80B8B"/>
    <w:rsid w:val="00A81CA1"/>
    <w:rsid w:val="00A824CD"/>
    <w:rsid w:val="00A82A8E"/>
    <w:rsid w:val="00A840D6"/>
    <w:rsid w:val="00A84DE6"/>
    <w:rsid w:val="00A85A97"/>
    <w:rsid w:val="00A85DB9"/>
    <w:rsid w:val="00A86272"/>
    <w:rsid w:val="00A86647"/>
    <w:rsid w:val="00A87559"/>
    <w:rsid w:val="00A905B3"/>
    <w:rsid w:val="00A91126"/>
    <w:rsid w:val="00A91D30"/>
    <w:rsid w:val="00A940A9"/>
    <w:rsid w:val="00A94156"/>
    <w:rsid w:val="00A9554E"/>
    <w:rsid w:val="00A95666"/>
    <w:rsid w:val="00A96A3D"/>
    <w:rsid w:val="00A96E89"/>
    <w:rsid w:val="00A97002"/>
    <w:rsid w:val="00A9702B"/>
    <w:rsid w:val="00AA08BB"/>
    <w:rsid w:val="00AA0A46"/>
    <w:rsid w:val="00AA38EE"/>
    <w:rsid w:val="00AA5231"/>
    <w:rsid w:val="00AA7171"/>
    <w:rsid w:val="00AA7311"/>
    <w:rsid w:val="00AA7751"/>
    <w:rsid w:val="00AB0EE4"/>
    <w:rsid w:val="00AB1686"/>
    <w:rsid w:val="00AB17AF"/>
    <w:rsid w:val="00AB194D"/>
    <w:rsid w:val="00AB46C0"/>
    <w:rsid w:val="00AB62F8"/>
    <w:rsid w:val="00AB6383"/>
    <w:rsid w:val="00AB6515"/>
    <w:rsid w:val="00AB70A5"/>
    <w:rsid w:val="00AC0CF8"/>
    <w:rsid w:val="00AC120B"/>
    <w:rsid w:val="00AC20C0"/>
    <w:rsid w:val="00AC2C4B"/>
    <w:rsid w:val="00AC41EA"/>
    <w:rsid w:val="00AC7EF6"/>
    <w:rsid w:val="00AD14D3"/>
    <w:rsid w:val="00AD1580"/>
    <w:rsid w:val="00AD1BFE"/>
    <w:rsid w:val="00AD5596"/>
    <w:rsid w:val="00AD7FF2"/>
    <w:rsid w:val="00AE159F"/>
    <w:rsid w:val="00AE18C7"/>
    <w:rsid w:val="00AE36AC"/>
    <w:rsid w:val="00AE3872"/>
    <w:rsid w:val="00AE3AB2"/>
    <w:rsid w:val="00AE56CA"/>
    <w:rsid w:val="00AF020A"/>
    <w:rsid w:val="00AF04EA"/>
    <w:rsid w:val="00AF07C4"/>
    <w:rsid w:val="00AF1568"/>
    <w:rsid w:val="00AF1A33"/>
    <w:rsid w:val="00AF3D81"/>
    <w:rsid w:val="00AF4C0A"/>
    <w:rsid w:val="00AF5357"/>
    <w:rsid w:val="00AF71E1"/>
    <w:rsid w:val="00AF71F9"/>
    <w:rsid w:val="00AF73F5"/>
    <w:rsid w:val="00B000B6"/>
    <w:rsid w:val="00B04ABA"/>
    <w:rsid w:val="00B05BE1"/>
    <w:rsid w:val="00B07343"/>
    <w:rsid w:val="00B103E3"/>
    <w:rsid w:val="00B1399B"/>
    <w:rsid w:val="00B145AA"/>
    <w:rsid w:val="00B152ED"/>
    <w:rsid w:val="00B1580B"/>
    <w:rsid w:val="00B15A27"/>
    <w:rsid w:val="00B17717"/>
    <w:rsid w:val="00B17780"/>
    <w:rsid w:val="00B2058C"/>
    <w:rsid w:val="00B21D5D"/>
    <w:rsid w:val="00B21F3B"/>
    <w:rsid w:val="00B22000"/>
    <w:rsid w:val="00B225B1"/>
    <w:rsid w:val="00B22CEC"/>
    <w:rsid w:val="00B23335"/>
    <w:rsid w:val="00B24652"/>
    <w:rsid w:val="00B25262"/>
    <w:rsid w:val="00B26396"/>
    <w:rsid w:val="00B270B7"/>
    <w:rsid w:val="00B27B5A"/>
    <w:rsid w:val="00B30AC5"/>
    <w:rsid w:val="00B3171C"/>
    <w:rsid w:val="00B31B0D"/>
    <w:rsid w:val="00B32488"/>
    <w:rsid w:val="00B329DE"/>
    <w:rsid w:val="00B33194"/>
    <w:rsid w:val="00B3386D"/>
    <w:rsid w:val="00B355D5"/>
    <w:rsid w:val="00B35DEE"/>
    <w:rsid w:val="00B37553"/>
    <w:rsid w:val="00B3778E"/>
    <w:rsid w:val="00B37BDD"/>
    <w:rsid w:val="00B4289B"/>
    <w:rsid w:val="00B42AE3"/>
    <w:rsid w:val="00B43C1E"/>
    <w:rsid w:val="00B44FC8"/>
    <w:rsid w:val="00B4586F"/>
    <w:rsid w:val="00B45A16"/>
    <w:rsid w:val="00B462BF"/>
    <w:rsid w:val="00B46EE6"/>
    <w:rsid w:val="00B506D4"/>
    <w:rsid w:val="00B51533"/>
    <w:rsid w:val="00B5190A"/>
    <w:rsid w:val="00B51CA2"/>
    <w:rsid w:val="00B51F76"/>
    <w:rsid w:val="00B52B47"/>
    <w:rsid w:val="00B5371D"/>
    <w:rsid w:val="00B53924"/>
    <w:rsid w:val="00B54D69"/>
    <w:rsid w:val="00B566EF"/>
    <w:rsid w:val="00B57945"/>
    <w:rsid w:val="00B57CFF"/>
    <w:rsid w:val="00B60B04"/>
    <w:rsid w:val="00B62825"/>
    <w:rsid w:val="00B62F6F"/>
    <w:rsid w:val="00B63D1B"/>
    <w:rsid w:val="00B64617"/>
    <w:rsid w:val="00B64A4C"/>
    <w:rsid w:val="00B64BB9"/>
    <w:rsid w:val="00B64E0F"/>
    <w:rsid w:val="00B65BAC"/>
    <w:rsid w:val="00B706E2"/>
    <w:rsid w:val="00B70F8A"/>
    <w:rsid w:val="00B71360"/>
    <w:rsid w:val="00B74728"/>
    <w:rsid w:val="00B7482F"/>
    <w:rsid w:val="00B74D57"/>
    <w:rsid w:val="00B753EA"/>
    <w:rsid w:val="00B755C7"/>
    <w:rsid w:val="00B75780"/>
    <w:rsid w:val="00B764F1"/>
    <w:rsid w:val="00B80DDC"/>
    <w:rsid w:val="00B81A4A"/>
    <w:rsid w:val="00B8244B"/>
    <w:rsid w:val="00B82AFB"/>
    <w:rsid w:val="00B82D56"/>
    <w:rsid w:val="00B831C5"/>
    <w:rsid w:val="00B8321D"/>
    <w:rsid w:val="00B83F9F"/>
    <w:rsid w:val="00B85C0A"/>
    <w:rsid w:val="00B873D2"/>
    <w:rsid w:val="00B9087E"/>
    <w:rsid w:val="00B90AA8"/>
    <w:rsid w:val="00B9188F"/>
    <w:rsid w:val="00B91A24"/>
    <w:rsid w:val="00B91E0A"/>
    <w:rsid w:val="00B926E1"/>
    <w:rsid w:val="00B927ED"/>
    <w:rsid w:val="00B92C92"/>
    <w:rsid w:val="00B92D24"/>
    <w:rsid w:val="00B9330C"/>
    <w:rsid w:val="00B93F44"/>
    <w:rsid w:val="00B9543B"/>
    <w:rsid w:val="00BA23DE"/>
    <w:rsid w:val="00BA43C4"/>
    <w:rsid w:val="00BA5192"/>
    <w:rsid w:val="00BB035E"/>
    <w:rsid w:val="00BB11B9"/>
    <w:rsid w:val="00BB1428"/>
    <w:rsid w:val="00BB57F6"/>
    <w:rsid w:val="00BB67D2"/>
    <w:rsid w:val="00BB6B20"/>
    <w:rsid w:val="00BB6F09"/>
    <w:rsid w:val="00BC2739"/>
    <w:rsid w:val="00BC3BDD"/>
    <w:rsid w:val="00BC43A0"/>
    <w:rsid w:val="00BC4E14"/>
    <w:rsid w:val="00BC6F3E"/>
    <w:rsid w:val="00BD0E9A"/>
    <w:rsid w:val="00BD1C7E"/>
    <w:rsid w:val="00BD3833"/>
    <w:rsid w:val="00BD7CF5"/>
    <w:rsid w:val="00BE106A"/>
    <w:rsid w:val="00BE1B79"/>
    <w:rsid w:val="00BE1F0F"/>
    <w:rsid w:val="00BE274D"/>
    <w:rsid w:val="00BE45A2"/>
    <w:rsid w:val="00BE463F"/>
    <w:rsid w:val="00BE4B7A"/>
    <w:rsid w:val="00BE5C4E"/>
    <w:rsid w:val="00BE6ADE"/>
    <w:rsid w:val="00BE7093"/>
    <w:rsid w:val="00BF088F"/>
    <w:rsid w:val="00BF0B87"/>
    <w:rsid w:val="00BF0D4F"/>
    <w:rsid w:val="00BF0EA6"/>
    <w:rsid w:val="00BF1533"/>
    <w:rsid w:val="00BF2976"/>
    <w:rsid w:val="00BF2C0B"/>
    <w:rsid w:val="00BF3A83"/>
    <w:rsid w:val="00BF4B95"/>
    <w:rsid w:val="00BF5633"/>
    <w:rsid w:val="00C00138"/>
    <w:rsid w:val="00C00318"/>
    <w:rsid w:val="00C00826"/>
    <w:rsid w:val="00C009C9"/>
    <w:rsid w:val="00C010D9"/>
    <w:rsid w:val="00C0111E"/>
    <w:rsid w:val="00C01788"/>
    <w:rsid w:val="00C01CB9"/>
    <w:rsid w:val="00C03CFB"/>
    <w:rsid w:val="00C05890"/>
    <w:rsid w:val="00C065FF"/>
    <w:rsid w:val="00C068BE"/>
    <w:rsid w:val="00C071F1"/>
    <w:rsid w:val="00C104BD"/>
    <w:rsid w:val="00C10636"/>
    <w:rsid w:val="00C10DD5"/>
    <w:rsid w:val="00C11E1E"/>
    <w:rsid w:val="00C12426"/>
    <w:rsid w:val="00C142C2"/>
    <w:rsid w:val="00C1533D"/>
    <w:rsid w:val="00C169F2"/>
    <w:rsid w:val="00C16FCE"/>
    <w:rsid w:val="00C17053"/>
    <w:rsid w:val="00C20DF6"/>
    <w:rsid w:val="00C20EC8"/>
    <w:rsid w:val="00C2121D"/>
    <w:rsid w:val="00C2265F"/>
    <w:rsid w:val="00C23010"/>
    <w:rsid w:val="00C2343B"/>
    <w:rsid w:val="00C26AFC"/>
    <w:rsid w:val="00C30504"/>
    <w:rsid w:val="00C30C1B"/>
    <w:rsid w:val="00C30EB2"/>
    <w:rsid w:val="00C30F3B"/>
    <w:rsid w:val="00C31AA6"/>
    <w:rsid w:val="00C361AD"/>
    <w:rsid w:val="00C36DC2"/>
    <w:rsid w:val="00C37569"/>
    <w:rsid w:val="00C42910"/>
    <w:rsid w:val="00C437DD"/>
    <w:rsid w:val="00C43C4D"/>
    <w:rsid w:val="00C43E05"/>
    <w:rsid w:val="00C44E53"/>
    <w:rsid w:val="00C45002"/>
    <w:rsid w:val="00C4525D"/>
    <w:rsid w:val="00C45E16"/>
    <w:rsid w:val="00C460D5"/>
    <w:rsid w:val="00C46243"/>
    <w:rsid w:val="00C46364"/>
    <w:rsid w:val="00C474A4"/>
    <w:rsid w:val="00C47ACB"/>
    <w:rsid w:val="00C47E90"/>
    <w:rsid w:val="00C510B7"/>
    <w:rsid w:val="00C51CAD"/>
    <w:rsid w:val="00C51FAD"/>
    <w:rsid w:val="00C52EB6"/>
    <w:rsid w:val="00C54354"/>
    <w:rsid w:val="00C54619"/>
    <w:rsid w:val="00C57EC1"/>
    <w:rsid w:val="00C57EF1"/>
    <w:rsid w:val="00C60FBF"/>
    <w:rsid w:val="00C61024"/>
    <w:rsid w:val="00C62EC8"/>
    <w:rsid w:val="00C63279"/>
    <w:rsid w:val="00C662AF"/>
    <w:rsid w:val="00C703FE"/>
    <w:rsid w:val="00C7293B"/>
    <w:rsid w:val="00C72B6E"/>
    <w:rsid w:val="00C7378C"/>
    <w:rsid w:val="00C73E4C"/>
    <w:rsid w:val="00C74D5F"/>
    <w:rsid w:val="00C75773"/>
    <w:rsid w:val="00C76B47"/>
    <w:rsid w:val="00C7726F"/>
    <w:rsid w:val="00C77994"/>
    <w:rsid w:val="00C77F23"/>
    <w:rsid w:val="00C803E1"/>
    <w:rsid w:val="00C80864"/>
    <w:rsid w:val="00C8223C"/>
    <w:rsid w:val="00C840A2"/>
    <w:rsid w:val="00C8746B"/>
    <w:rsid w:val="00C8755D"/>
    <w:rsid w:val="00C87A0F"/>
    <w:rsid w:val="00C90F51"/>
    <w:rsid w:val="00C91C1D"/>
    <w:rsid w:val="00C940F8"/>
    <w:rsid w:val="00C95142"/>
    <w:rsid w:val="00C9775D"/>
    <w:rsid w:val="00CA02F3"/>
    <w:rsid w:val="00CA10D6"/>
    <w:rsid w:val="00CA135C"/>
    <w:rsid w:val="00CA15B2"/>
    <w:rsid w:val="00CA285C"/>
    <w:rsid w:val="00CA3959"/>
    <w:rsid w:val="00CA454C"/>
    <w:rsid w:val="00CA4FF2"/>
    <w:rsid w:val="00CA639E"/>
    <w:rsid w:val="00CA7405"/>
    <w:rsid w:val="00CA75A0"/>
    <w:rsid w:val="00CB01D0"/>
    <w:rsid w:val="00CB035D"/>
    <w:rsid w:val="00CB0504"/>
    <w:rsid w:val="00CB1B1D"/>
    <w:rsid w:val="00CB2ED6"/>
    <w:rsid w:val="00CB3033"/>
    <w:rsid w:val="00CB3F87"/>
    <w:rsid w:val="00CB7719"/>
    <w:rsid w:val="00CB793C"/>
    <w:rsid w:val="00CC0CB0"/>
    <w:rsid w:val="00CC0FB9"/>
    <w:rsid w:val="00CC1E30"/>
    <w:rsid w:val="00CC1F18"/>
    <w:rsid w:val="00CC34C0"/>
    <w:rsid w:val="00CC3D95"/>
    <w:rsid w:val="00CC3F90"/>
    <w:rsid w:val="00CC55B6"/>
    <w:rsid w:val="00CC5D6D"/>
    <w:rsid w:val="00CC61B9"/>
    <w:rsid w:val="00CC7676"/>
    <w:rsid w:val="00CC79A6"/>
    <w:rsid w:val="00CD0C62"/>
    <w:rsid w:val="00CD18B4"/>
    <w:rsid w:val="00CD2A54"/>
    <w:rsid w:val="00CD39F5"/>
    <w:rsid w:val="00CD441C"/>
    <w:rsid w:val="00CD7393"/>
    <w:rsid w:val="00CE033E"/>
    <w:rsid w:val="00CE0B28"/>
    <w:rsid w:val="00CE1801"/>
    <w:rsid w:val="00CE2247"/>
    <w:rsid w:val="00CE51CD"/>
    <w:rsid w:val="00CE58CD"/>
    <w:rsid w:val="00CE5A51"/>
    <w:rsid w:val="00CF0843"/>
    <w:rsid w:val="00CF0C5F"/>
    <w:rsid w:val="00CF1953"/>
    <w:rsid w:val="00CF3362"/>
    <w:rsid w:val="00CF35D1"/>
    <w:rsid w:val="00CF5093"/>
    <w:rsid w:val="00CF5B31"/>
    <w:rsid w:val="00CF6373"/>
    <w:rsid w:val="00CF6C12"/>
    <w:rsid w:val="00D01A6B"/>
    <w:rsid w:val="00D025E7"/>
    <w:rsid w:val="00D04B6B"/>
    <w:rsid w:val="00D04CF9"/>
    <w:rsid w:val="00D110AE"/>
    <w:rsid w:val="00D1149F"/>
    <w:rsid w:val="00D11896"/>
    <w:rsid w:val="00D11FE6"/>
    <w:rsid w:val="00D1424C"/>
    <w:rsid w:val="00D1436F"/>
    <w:rsid w:val="00D1563A"/>
    <w:rsid w:val="00D16767"/>
    <w:rsid w:val="00D17415"/>
    <w:rsid w:val="00D179F9"/>
    <w:rsid w:val="00D21BC2"/>
    <w:rsid w:val="00D22989"/>
    <w:rsid w:val="00D24203"/>
    <w:rsid w:val="00D243A8"/>
    <w:rsid w:val="00D24D32"/>
    <w:rsid w:val="00D25AB1"/>
    <w:rsid w:val="00D26845"/>
    <w:rsid w:val="00D26DAC"/>
    <w:rsid w:val="00D270A9"/>
    <w:rsid w:val="00D31671"/>
    <w:rsid w:val="00D32225"/>
    <w:rsid w:val="00D33FED"/>
    <w:rsid w:val="00D34CD5"/>
    <w:rsid w:val="00D35A0D"/>
    <w:rsid w:val="00D3607B"/>
    <w:rsid w:val="00D371D9"/>
    <w:rsid w:val="00D37D78"/>
    <w:rsid w:val="00D40A2B"/>
    <w:rsid w:val="00D40B8C"/>
    <w:rsid w:val="00D419AB"/>
    <w:rsid w:val="00D41FF5"/>
    <w:rsid w:val="00D4230E"/>
    <w:rsid w:val="00D431D7"/>
    <w:rsid w:val="00D43457"/>
    <w:rsid w:val="00D439B0"/>
    <w:rsid w:val="00D44CC3"/>
    <w:rsid w:val="00D44DE8"/>
    <w:rsid w:val="00D44EE2"/>
    <w:rsid w:val="00D45A9B"/>
    <w:rsid w:val="00D46189"/>
    <w:rsid w:val="00D466C5"/>
    <w:rsid w:val="00D4727F"/>
    <w:rsid w:val="00D47AAF"/>
    <w:rsid w:val="00D526CE"/>
    <w:rsid w:val="00D55384"/>
    <w:rsid w:val="00D555FE"/>
    <w:rsid w:val="00D57AA8"/>
    <w:rsid w:val="00D57C46"/>
    <w:rsid w:val="00D61DCF"/>
    <w:rsid w:val="00D6249E"/>
    <w:rsid w:val="00D625D9"/>
    <w:rsid w:val="00D63195"/>
    <w:rsid w:val="00D63361"/>
    <w:rsid w:val="00D64811"/>
    <w:rsid w:val="00D65028"/>
    <w:rsid w:val="00D65B10"/>
    <w:rsid w:val="00D67EFB"/>
    <w:rsid w:val="00D70C45"/>
    <w:rsid w:val="00D71411"/>
    <w:rsid w:val="00D72FE7"/>
    <w:rsid w:val="00D73667"/>
    <w:rsid w:val="00D744C1"/>
    <w:rsid w:val="00D771ED"/>
    <w:rsid w:val="00D775E3"/>
    <w:rsid w:val="00D80ADE"/>
    <w:rsid w:val="00D80D60"/>
    <w:rsid w:val="00D8199B"/>
    <w:rsid w:val="00D81BCF"/>
    <w:rsid w:val="00D821DE"/>
    <w:rsid w:val="00D82394"/>
    <w:rsid w:val="00D828D1"/>
    <w:rsid w:val="00D84F06"/>
    <w:rsid w:val="00D855F3"/>
    <w:rsid w:val="00D87AA8"/>
    <w:rsid w:val="00D916C6"/>
    <w:rsid w:val="00D91821"/>
    <w:rsid w:val="00D919B0"/>
    <w:rsid w:val="00D934BD"/>
    <w:rsid w:val="00D942E9"/>
    <w:rsid w:val="00D94C00"/>
    <w:rsid w:val="00D95C28"/>
    <w:rsid w:val="00D96695"/>
    <w:rsid w:val="00D97EE7"/>
    <w:rsid w:val="00DA24C1"/>
    <w:rsid w:val="00DA317A"/>
    <w:rsid w:val="00DA3288"/>
    <w:rsid w:val="00DA416B"/>
    <w:rsid w:val="00DA43C5"/>
    <w:rsid w:val="00DA5076"/>
    <w:rsid w:val="00DA5914"/>
    <w:rsid w:val="00DA67F4"/>
    <w:rsid w:val="00DA7A72"/>
    <w:rsid w:val="00DA7AB4"/>
    <w:rsid w:val="00DA7D54"/>
    <w:rsid w:val="00DB02D2"/>
    <w:rsid w:val="00DB1454"/>
    <w:rsid w:val="00DB3754"/>
    <w:rsid w:val="00DB4EA5"/>
    <w:rsid w:val="00DB538D"/>
    <w:rsid w:val="00DB7775"/>
    <w:rsid w:val="00DC0F97"/>
    <w:rsid w:val="00DC127C"/>
    <w:rsid w:val="00DC1CDF"/>
    <w:rsid w:val="00DC3848"/>
    <w:rsid w:val="00DC4501"/>
    <w:rsid w:val="00DC4E2F"/>
    <w:rsid w:val="00DC6613"/>
    <w:rsid w:val="00DC6DE5"/>
    <w:rsid w:val="00DD0E76"/>
    <w:rsid w:val="00DD3884"/>
    <w:rsid w:val="00DD4515"/>
    <w:rsid w:val="00DD579E"/>
    <w:rsid w:val="00DD7B4E"/>
    <w:rsid w:val="00DE0123"/>
    <w:rsid w:val="00DE06A1"/>
    <w:rsid w:val="00DE1136"/>
    <w:rsid w:val="00DE259F"/>
    <w:rsid w:val="00DE3C86"/>
    <w:rsid w:val="00DE42BD"/>
    <w:rsid w:val="00DE47C5"/>
    <w:rsid w:val="00DE4AFF"/>
    <w:rsid w:val="00DE4C85"/>
    <w:rsid w:val="00DE6075"/>
    <w:rsid w:val="00DE613D"/>
    <w:rsid w:val="00DE7B53"/>
    <w:rsid w:val="00DF0B22"/>
    <w:rsid w:val="00DF12E0"/>
    <w:rsid w:val="00DF3BD9"/>
    <w:rsid w:val="00DF3D26"/>
    <w:rsid w:val="00DF5E43"/>
    <w:rsid w:val="00DF69E7"/>
    <w:rsid w:val="00E01ECF"/>
    <w:rsid w:val="00E01F18"/>
    <w:rsid w:val="00E03AC3"/>
    <w:rsid w:val="00E04931"/>
    <w:rsid w:val="00E0635D"/>
    <w:rsid w:val="00E07EAC"/>
    <w:rsid w:val="00E12817"/>
    <w:rsid w:val="00E12A3E"/>
    <w:rsid w:val="00E12F96"/>
    <w:rsid w:val="00E13BDD"/>
    <w:rsid w:val="00E14773"/>
    <w:rsid w:val="00E164A5"/>
    <w:rsid w:val="00E17756"/>
    <w:rsid w:val="00E17778"/>
    <w:rsid w:val="00E17F49"/>
    <w:rsid w:val="00E21A8D"/>
    <w:rsid w:val="00E21B1E"/>
    <w:rsid w:val="00E22E1A"/>
    <w:rsid w:val="00E258AC"/>
    <w:rsid w:val="00E26484"/>
    <w:rsid w:val="00E27FEB"/>
    <w:rsid w:val="00E307C8"/>
    <w:rsid w:val="00E30F5F"/>
    <w:rsid w:val="00E3101F"/>
    <w:rsid w:val="00E3171A"/>
    <w:rsid w:val="00E31E5F"/>
    <w:rsid w:val="00E32460"/>
    <w:rsid w:val="00E34391"/>
    <w:rsid w:val="00E361C1"/>
    <w:rsid w:val="00E36B74"/>
    <w:rsid w:val="00E372CE"/>
    <w:rsid w:val="00E37843"/>
    <w:rsid w:val="00E37BFD"/>
    <w:rsid w:val="00E40AD7"/>
    <w:rsid w:val="00E40BF9"/>
    <w:rsid w:val="00E40E73"/>
    <w:rsid w:val="00E42FF8"/>
    <w:rsid w:val="00E43B5A"/>
    <w:rsid w:val="00E4535F"/>
    <w:rsid w:val="00E453D2"/>
    <w:rsid w:val="00E46CAC"/>
    <w:rsid w:val="00E50D00"/>
    <w:rsid w:val="00E5197B"/>
    <w:rsid w:val="00E53233"/>
    <w:rsid w:val="00E544D9"/>
    <w:rsid w:val="00E55763"/>
    <w:rsid w:val="00E6052E"/>
    <w:rsid w:val="00E6284C"/>
    <w:rsid w:val="00E62C98"/>
    <w:rsid w:val="00E62EA1"/>
    <w:rsid w:val="00E647A6"/>
    <w:rsid w:val="00E66DDA"/>
    <w:rsid w:val="00E67FD6"/>
    <w:rsid w:val="00E70666"/>
    <w:rsid w:val="00E70871"/>
    <w:rsid w:val="00E7149A"/>
    <w:rsid w:val="00E71B2D"/>
    <w:rsid w:val="00E7236F"/>
    <w:rsid w:val="00E72B77"/>
    <w:rsid w:val="00E735AD"/>
    <w:rsid w:val="00E73959"/>
    <w:rsid w:val="00E77955"/>
    <w:rsid w:val="00E8060C"/>
    <w:rsid w:val="00E80B49"/>
    <w:rsid w:val="00E82517"/>
    <w:rsid w:val="00E845CB"/>
    <w:rsid w:val="00E84911"/>
    <w:rsid w:val="00E85952"/>
    <w:rsid w:val="00E8677F"/>
    <w:rsid w:val="00E8744D"/>
    <w:rsid w:val="00E87DBB"/>
    <w:rsid w:val="00E9155E"/>
    <w:rsid w:val="00E91D55"/>
    <w:rsid w:val="00E92A5E"/>
    <w:rsid w:val="00E94053"/>
    <w:rsid w:val="00E960D9"/>
    <w:rsid w:val="00E96B0D"/>
    <w:rsid w:val="00E96CF4"/>
    <w:rsid w:val="00E979B4"/>
    <w:rsid w:val="00EA0F94"/>
    <w:rsid w:val="00EA10EF"/>
    <w:rsid w:val="00EA1E28"/>
    <w:rsid w:val="00EA29E4"/>
    <w:rsid w:val="00EA31F5"/>
    <w:rsid w:val="00EA5E27"/>
    <w:rsid w:val="00EA6D42"/>
    <w:rsid w:val="00EA79BC"/>
    <w:rsid w:val="00EA7BCC"/>
    <w:rsid w:val="00EB0614"/>
    <w:rsid w:val="00EB0BDD"/>
    <w:rsid w:val="00EB2D5D"/>
    <w:rsid w:val="00EB491E"/>
    <w:rsid w:val="00EB573C"/>
    <w:rsid w:val="00EB6D2E"/>
    <w:rsid w:val="00EB6EE1"/>
    <w:rsid w:val="00EB79A6"/>
    <w:rsid w:val="00EB7D09"/>
    <w:rsid w:val="00EC0483"/>
    <w:rsid w:val="00EC1B4D"/>
    <w:rsid w:val="00EC1D5A"/>
    <w:rsid w:val="00EC22A5"/>
    <w:rsid w:val="00EC2695"/>
    <w:rsid w:val="00EC2812"/>
    <w:rsid w:val="00EC30FE"/>
    <w:rsid w:val="00EC66F8"/>
    <w:rsid w:val="00ED0BD3"/>
    <w:rsid w:val="00ED175C"/>
    <w:rsid w:val="00ED316C"/>
    <w:rsid w:val="00ED5877"/>
    <w:rsid w:val="00ED5E87"/>
    <w:rsid w:val="00ED6032"/>
    <w:rsid w:val="00ED6850"/>
    <w:rsid w:val="00ED7571"/>
    <w:rsid w:val="00ED7CE6"/>
    <w:rsid w:val="00EE0009"/>
    <w:rsid w:val="00EE0497"/>
    <w:rsid w:val="00EE04B7"/>
    <w:rsid w:val="00EE05E6"/>
    <w:rsid w:val="00EE176A"/>
    <w:rsid w:val="00EE1DE2"/>
    <w:rsid w:val="00EE1FAF"/>
    <w:rsid w:val="00EE2050"/>
    <w:rsid w:val="00EE2C6E"/>
    <w:rsid w:val="00EE7B7A"/>
    <w:rsid w:val="00EF0FB2"/>
    <w:rsid w:val="00EF494B"/>
    <w:rsid w:val="00EF4B77"/>
    <w:rsid w:val="00EF566B"/>
    <w:rsid w:val="00EF5994"/>
    <w:rsid w:val="00EF5B62"/>
    <w:rsid w:val="00EF7856"/>
    <w:rsid w:val="00EF7901"/>
    <w:rsid w:val="00F00442"/>
    <w:rsid w:val="00F010DB"/>
    <w:rsid w:val="00F01AB2"/>
    <w:rsid w:val="00F02ED4"/>
    <w:rsid w:val="00F033FC"/>
    <w:rsid w:val="00F05D39"/>
    <w:rsid w:val="00F060DA"/>
    <w:rsid w:val="00F06C04"/>
    <w:rsid w:val="00F06D4C"/>
    <w:rsid w:val="00F071DB"/>
    <w:rsid w:val="00F10E69"/>
    <w:rsid w:val="00F114F9"/>
    <w:rsid w:val="00F11C3E"/>
    <w:rsid w:val="00F12DDA"/>
    <w:rsid w:val="00F131D4"/>
    <w:rsid w:val="00F13806"/>
    <w:rsid w:val="00F142C1"/>
    <w:rsid w:val="00F14E7B"/>
    <w:rsid w:val="00F1540B"/>
    <w:rsid w:val="00F17C16"/>
    <w:rsid w:val="00F2035A"/>
    <w:rsid w:val="00F20B17"/>
    <w:rsid w:val="00F210F5"/>
    <w:rsid w:val="00F2263C"/>
    <w:rsid w:val="00F22801"/>
    <w:rsid w:val="00F22C3A"/>
    <w:rsid w:val="00F23739"/>
    <w:rsid w:val="00F24527"/>
    <w:rsid w:val="00F26906"/>
    <w:rsid w:val="00F27729"/>
    <w:rsid w:val="00F30606"/>
    <w:rsid w:val="00F3162E"/>
    <w:rsid w:val="00F323F5"/>
    <w:rsid w:val="00F32DE3"/>
    <w:rsid w:val="00F32E6A"/>
    <w:rsid w:val="00F33E99"/>
    <w:rsid w:val="00F34C48"/>
    <w:rsid w:val="00F34D40"/>
    <w:rsid w:val="00F356E7"/>
    <w:rsid w:val="00F35DFF"/>
    <w:rsid w:val="00F3666E"/>
    <w:rsid w:val="00F36DA2"/>
    <w:rsid w:val="00F37BFA"/>
    <w:rsid w:val="00F40CCE"/>
    <w:rsid w:val="00F426A4"/>
    <w:rsid w:val="00F440E7"/>
    <w:rsid w:val="00F44C93"/>
    <w:rsid w:val="00F45AC6"/>
    <w:rsid w:val="00F45DA7"/>
    <w:rsid w:val="00F47134"/>
    <w:rsid w:val="00F5057D"/>
    <w:rsid w:val="00F50683"/>
    <w:rsid w:val="00F53735"/>
    <w:rsid w:val="00F57BA2"/>
    <w:rsid w:val="00F6177F"/>
    <w:rsid w:val="00F61AC3"/>
    <w:rsid w:val="00F624F0"/>
    <w:rsid w:val="00F6367B"/>
    <w:rsid w:val="00F6464D"/>
    <w:rsid w:val="00F656DF"/>
    <w:rsid w:val="00F66D48"/>
    <w:rsid w:val="00F7229B"/>
    <w:rsid w:val="00F7284A"/>
    <w:rsid w:val="00F7388D"/>
    <w:rsid w:val="00F7424B"/>
    <w:rsid w:val="00F75124"/>
    <w:rsid w:val="00F75513"/>
    <w:rsid w:val="00F7627B"/>
    <w:rsid w:val="00F7654E"/>
    <w:rsid w:val="00F808A7"/>
    <w:rsid w:val="00F81CDF"/>
    <w:rsid w:val="00F81ECC"/>
    <w:rsid w:val="00F82795"/>
    <w:rsid w:val="00F82D28"/>
    <w:rsid w:val="00F83EF9"/>
    <w:rsid w:val="00F84CDB"/>
    <w:rsid w:val="00F87654"/>
    <w:rsid w:val="00F91A1F"/>
    <w:rsid w:val="00F93360"/>
    <w:rsid w:val="00F934BE"/>
    <w:rsid w:val="00F948BE"/>
    <w:rsid w:val="00F960E7"/>
    <w:rsid w:val="00FA0A8C"/>
    <w:rsid w:val="00FA0F0C"/>
    <w:rsid w:val="00FA2A66"/>
    <w:rsid w:val="00FA386E"/>
    <w:rsid w:val="00FA4AAC"/>
    <w:rsid w:val="00FA5C95"/>
    <w:rsid w:val="00FA6787"/>
    <w:rsid w:val="00FA6ABC"/>
    <w:rsid w:val="00FB1E34"/>
    <w:rsid w:val="00FB1EE6"/>
    <w:rsid w:val="00FB333F"/>
    <w:rsid w:val="00FB553A"/>
    <w:rsid w:val="00FB5D40"/>
    <w:rsid w:val="00FB6621"/>
    <w:rsid w:val="00FB779E"/>
    <w:rsid w:val="00FC0463"/>
    <w:rsid w:val="00FC13FA"/>
    <w:rsid w:val="00FC14CF"/>
    <w:rsid w:val="00FC163A"/>
    <w:rsid w:val="00FC1DA5"/>
    <w:rsid w:val="00FC23A2"/>
    <w:rsid w:val="00FC4AAC"/>
    <w:rsid w:val="00FC6682"/>
    <w:rsid w:val="00FC6A53"/>
    <w:rsid w:val="00FC7E43"/>
    <w:rsid w:val="00FD02A1"/>
    <w:rsid w:val="00FD197E"/>
    <w:rsid w:val="00FD1AE0"/>
    <w:rsid w:val="00FD26AF"/>
    <w:rsid w:val="00FD2A75"/>
    <w:rsid w:val="00FD2F35"/>
    <w:rsid w:val="00FD4BCC"/>
    <w:rsid w:val="00FE15CE"/>
    <w:rsid w:val="00FE22A0"/>
    <w:rsid w:val="00FE25A0"/>
    <w:rsid w:val="00FE317E"/>
    <w:rsid w:val="00FE3F21"/>
    <w:rsid w:val="00FE42BC"/>
    <w:rsid w:val="00FE58FB"/>
    <w:rsid w:val="00FE7056"/>
    <w:rsid w:val="00FE7628"/>
    <w:rsid w:val="00FE77D6"/>
    <w:rsid w:val="00FF1D07"/>
    <w:rsid w:val="00FF2BEA"/>
    <w:rsid w:val="00FF3987"/>
    <w:rsid w:val="00FF3D9D"/>
    <w:rsid w:val="00FF3DE5"/>
    <w:rsid w:val="00FF3FAE"/>
    <w:rsid w:val="00FF50CB"/>
    <w:rsid w:val="00FF6035"/>
    <w:rsid w:val="00FF61E5"/>
    <w:rsid w:val="00FF71DB"/>
    <w:rsid w:val="00FF7A8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F6465F"/>
  <w15:docId w15:val="{9AF3E93E-90B3-4370-9E54-5D321B68C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cs-CZ"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BB035E"/>
    <w:pPr>
      <w:spacing w:before="120" w:after="0"/>
      <w:jc w:val="both"/>
    </w:pPr>
    <w:rPr>
      <w:rFonts w:ascii="Arial" w:hAnsi="Arial" w:cs="Arial"/>
      <w:sz w:val="24"/>
    </w:rPr>
  </w:style>
  <w:style w:type="paragraph" w:styleId="Nadpis1">
    <w:name w:val="heading 1"/>
    <w:basedOn w:val="Normln"/>
    <w:link w:val="Nadpis1Char"/>
    <w:uiPriority w:val="99"/>
    <w:qFormat/>
    <w:rsid w:val="008C50D7"/>
    <w:pPr>
      <w:keepNext/>
      <w:keepLines/>
      <w:numPr>
        <w:numId w:val="8"/>
      </w:numPr>
      <w:pBdr>
        <w:bottom w:val="single" w:sz="4" w:space="1" w:color="auto"/>
      </w:pBdr>
      <w:spacing w:before="840" w:after="360"/>
      <w:jc w:val="center"/>
      <w:outlineLvl w:val="0"/>
    </w:pPr>
    <w:rPr>
      <w:rFonts w:eastAsia="Arial Unicode MS" w:cs="Aharoni"/>
      <w:bCs/>
      <w:sz w:val="36"/>
      <w:szCs w:val="24"/>
    </w:rPr>
  </w:style>
  <w:style w:type="paragraph" w:styleId="Nadpis2">
    <w:name w:val="heading 2"/>
    <w:basedOn w:val="slovn"/>
    <w:link w:val="Nadpis2Char"/>
    <w:uiPriority w:val="99"/>
    <w:qFormat/>
    <w:rsid w:val="008C50D7"/>
    <w:pPr>
      <w:keepNext/>
      <w:keepLines/>
      <w:numPr>
        <w:numId w:val="8"/>
      </w:numPr>
      <w:spacing w:before="600" w:after="240"/>
      <w:jc w:val="center"/>
      <w:outlineLvl w:val="1"/>
    </w:pPr>
    <w:rPr>
      <w:sz w:val="32"/>
    </w:rPr>
  </w:style>
  <w:style w:type="paragraph" w:styleId="Nadpis3">
    <w:name w:val="heading 3"/>
    <w:basedOn w:val="Normln"/>
    <w:next w:val="Normln"/>
    <w:link w:val="Nadpis3Char"/>
    <w:uiPriority w:val="9"/>
    <w:unhideWhenUsed/>
    <w:qFormat/>
    <w:rsid w:val="008C50D7"/>
    <w:pPr>
      <w:keepNext/>
      <w:keepLines/>
      <w:numPr>
        <w:ilvl w:val="2"/>
        <w:numId w:val="8"/>
      </w:numPr>
      <w:pBdr>
        <w:bottom w:val="single" w:sz="4" w:space="1" w:color="auto"/>
      </w:pBdr>
      <w:spacing w:before="600" w:after="120"/>
      <w:ind w:right="23"/>
      <w:outlineLvl w:val="2"/>
    </w:pPr>
    <w:rPr>
      <w:rFonts w:eastAsiaTheme="majorEastAsia"/>
      <w:b/>
      <w:bCs/>
      <w:sz w:val="28"/>
      <w:szCs w:val="26"/>
    </w:rPr>
  </w:style>
  <w:style w:type="paragraph" w:styleId="Nadpis4">
    <w:name w:val="heading 4"/>
    <w:basedOn w:val="Normln"/>
    <w:next w:val="Normln"/>
    <w:link w:val="Nadpis4Char"/>
    <w:uiPriority w:val="9"/>
    <w:unhideWhenUsed/>
    <w:qFormat/>
    <w:rsid w:val="008C50D7"/>
    <w:pPr>
      <w:pageBreakBefore/>
      <w:numPr>
        <w:ilvl w:val="3"/>
        <w:numId w:val="8"/>
      </w:numPr>
      <w:shd w:val="clear" w:color="auto" w:fill="FFFFFF"/>
      <w:spacing w:before="600" w:after="240" w:line="240" w:lineRule="auto"/>
      <w:outlineLvl w:val="3"/>
    </w:pPr>
    <w:rPr>
      <w:rFonts w:eastAsia="Calibri"/>
      <w:b/>
      <w:i/>
      <w:sz w:val="36"/>
      <w:szCs w:val="34"/>
    </w:rPr>
  </w:style>
  <w:style w:type="paragraph" w:styleId="Nadpis5">
    <w:name w:val="heading 5"/>
    <w:basedOn w:val="Normln"/>
    <w:next w:val="Normln"/>
    <w:link w:val="Nadpis5Char"/>
    <w:uiPriority w:val="9"/>
    <w:unhideWhenUsed/>
    <w:qFormat/>
    <w:rsid w:val="008C50D7"/>
    <w:pPr>
      <w:keepNext/>
      <w:keepLines/>
      <w:numPr>
        <w:ilvl w:val="4"/>
        <w:numId w:val="8"/>
      </w:numPr>
      <w:spacing w:before="20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unhideWhenUsed/>
    <w:qFormat/>
    <w:rsid w:val="008C50D7"/>
    <w:pPr>
      <w:keepNext/>
      <w:keepLines/>
      <w:numPr>
        <w:ilvl w:val="5"/>
        <w:numId w:val="8"/>
      </w:numPr>
      <w:spacing w:before="20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unhideWhenUsed/>
    <w:qFormat/>
    <w:rsid w:val="008C50D7"/>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unhideWhenUsed/>
    <w:qFormat/>
    <w:rsid w:val="008C50D7"/>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unhideWhenUsed/>
    <w:qFormat/>
    <w:rsid w:val="008C50D7"/>
    <w:pPr>
      <w:keepNext/>
      <w:keepLines/>
      <w:spacing w:before="200"/>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rsid w:val="00491F58"/>
    <w:pPr>
      <w:tabs>
        <w:tab w:val="left" w:pos="1418"/>
        <w:tab w:val="left" w:pos="1843"/>
      </w:tabs>
    </w:pPr>
    <w:rPr>
      <w:sz w:val="20"/>
      <w:szCs w:val="20"/>
    </w:rPr>
  </w:style>
  <w:style w:type="paragraph" w:styleId="Zkladntextodsazen">
    <w:name w:val="Body Text Indent"/>
    <w:basedOn w:val="Normln"/>
    <w:rsid w:val="00491F58"/>
    <w:pPr>
      <w:pBdr>
        <w:top w:val="single" w:sz="4" w:space="1" w:color="auto"/>
        <w:left w:val="single" w:sz="4" w:space="4" w:color="auto"/>
        <w:bottom w:val="single" w:sz="4" w:space="1" w:color="auto"/>
        <w:right w:val="single" w:sz="4" w:space="4" w:color="auto"/>
      </w:pBdr>
    </w:pPr>
    <w:rPr>
      <w:sz w:val="20"/>
      <w:szCs w:val="20"/>
    </w:rPr>
  </w:style>
  <w:style w:type="paragraph" w:styleId="Zhlav">
    <w:name w:val="header"/>
    <w:basedOn w:val="Normln"/>
    <w:rsid w:val="00491F58"/>
    <w:pPr>
      <w:numPr>
        <w:numId w:val="6"/>
      </w:numPr>
      <w:tabs>
        <w:tab w:val="center" w:pos="4536"/>
        <w:tab w:val="right" w:pos="9072"/>
      </w:tabs>
    </w:pPr>
    <w:rPr>
      <w:sz w:val="20"/>
      <w:szCs w:val="20"/>
    </w:rPr>
  </w:style>
  <w:style w:type="character" w:styleId="Hypertextovodkaz">
    <w:name w:val="Hyperlink"/>
    <w:uiPriority w:val="99"/>
    <w:rsid w:val="00491F58"/>
    <w:rPr>
      <w:color w:val="0000FF"/>
      <w:u w:val="single"/>
    </w:rPr>
  </w:style>
  <w:style w:type="paragraph" w:styleId="Zkladntext3">
    <w:name w:val="Body Text 3"/>
    <w:basedOn w:val="Normln"/>
    <w:link w:val="Zkladntext3Char"/>
    <w:rsid w:val="00491F58"/>
    <w:pPr>
      <w:tabs>
        <w:tab w:val="left" w:pos="425"/>
        <w:tab w:val="left" w:leader="dot" w:pos="8931"/>
      </w:tabs>
      <w:spacing w:line="360" w:lineRule="auto"/>
    </w:pPr>
    <w:rPr>
      <w:b/>
      <w:bCs/>
      <w:sz w:val="20"/>
      <w:szCs w:val="20"/>
    </w:rPr>
  </w:style>
  <w:style w:type="paragraph" w:styleId="Zkladntextodsazen2">
    <w:name w:val="Body Text Indent 2"/>
    <w:basedOn w:val="Normln"/>
    <w:rsid w:val="00491F58"/>
    <w:pPr>
      <w:tabs>
        <w:tab w:val="left" w:pos="1418"/>
        <w:tab w:val="left" w:pos="1843"/>
      </w:tabs>
      <w:ind w:left="1985" w:hanging="1845"/>
    </w:pPr>
    <w:rPr>
      <w:sz w:val="20"/>
      <w:szCs w:val="20"/>
    </w:rPr>
  </w:style>
  <w:style w:type="paragraph" w:styleId="Zkladntextodsazen3">
    <w:name w:val="Body Text Indent 3"/>
    <w:basedOn w:val="Normln"/>
    <w:rsid w:val="00491F58"/>
    <w:pPr>
      <w:tabs>
        <w:tab w:val="left" w:pos="425"/>
        <w:tab w:val="left" w:pos="1134"/>
        <w:tab w:val="left" w:leader="dot" w:pos="5103"/>
        <w:tab w:val="left" w:leader="dot" w:pos="8930"/>
      </w:tabs>
      <w:spacing w:line="360" w:lineRule="auto"/>
      <w:ind w:left="708"/>
    </w:pPr>
    <w:rPr>
      <w:sz w:val="20"/>
      <w:szCs w:val="20"/>
    </w:rPr>
  </w:style>
  <w:style w:type="paragraph" w:styleId="Zpat">
    <w:name w:val="footer"/>
    <w:basedOn w:val="Normln"/>
    <w:link w:val="ZpatChar"/>
    <w:rsid w:val="00491F58"/>
    <w:pPr>
      <w:tabs>
        <w:tab w:val="center" w:pos="4536"/>
        <w:tab w:val="right" w:pos="9072"/>
      </w:tabs>
    </w:pPr>
    <w:rPr>
      <w:sz w:val="22"/>
    </w:rPr>
  </w:style>
  <w:style w:type="character" w:styleId="slostrnky">
    <w:name w:val="page number"/>
    <w:basedOn w:val="Standardnpsmoodstavce"/>
    <w:rsid w:val="00491F58"/>
  </w:style>
  <w:style w:type="paragraph" w:styleId="Normlnweb">
    <w:name w:val="Normal (Web)"/>
    <w:basedOn w:val="Normln"/>
    <w:rsid w:val="00491F58"/>
    <w:pPr>
      <w:spacing w:before="100" w:after="100"/>
    </w:pPr>
  </w:style>
  <w:style w:type="table" w:styleId="Elegantntabulka">
    <w:name w:val="Table Elegant"/>
    <w:basedOn w:val="Normlntabulka"/>
    <w:rsid w:val="00491F5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paragraph" w:styleId="Zkladntext2">
    <w:name w:val="Body Text 2"/>
    <w:basedOn w:val="Normln"/>
    <w:rsid w:val="00491F58"/>
    <w:pPr>
      <w:spacing w:after="120" w:line="480" w:lineRule="auto"/>
    </w:pPr>
  </w:style>
  <w:style w:type="paragraph" w:customStyle="1" w:styleId="normln2">
    <w:name w:val="normální 2"/>
    <w:basedOn w:val="Normln"/>
    <w:rsid w:val="00491F58"/>
    <w:pPr>
      <w:tabs>
        <w:tab w:val="num" w:pos="360"/>
      </w:tabs>
    </w:pPr>
  </w:style>
  <w:style w:type="paragraph" w:styleId="Nzev">
    <w:name w:val="Title"/>
    <w:basedOn w:val="Normln"/>
    <w:next w:val="Normln"/>
    <w:link w:val="NzevChar"/>
    <w:uiPriority w:val="10"/>
    <w:qFormat/>
    <w:rsid w:val="008C50D7"/>
    <w:pPr>
      <w:pBdr>
        <w:bottom w:val="single" w:sz="8" w:space="4" w:color="4F81BD"/>
      </w:pBdr>
      <w:spacing w:after="300" w:line="240" w:lineRule="auto"/>
      <w:contextualSpacing/>
    </w:pPr>
    <w:rPr>
      <w:rFonts w:ascii="Cambria" w:hAnsi="Cambria"/>
      <w:color w:val="17365D"/>
      <w:spacing w:val="5"/>
      <w:kern w:val="28"/>
      <w:sz w:val="52"/>
      <w:szCs w:val="52"/>
    </w:rPr>
  </w:style>
  <w:style w:type="paragraph" w:customStyle="1" w:styleId="odrky">
    <w:name w:val="odrážky"/>
    <w:basedOn w:val="Normln"/>
    <w:rsid w:val="00491F58"/>
    <w:pPr>
      <w:numPr>
        <w:numId w:val="2"/>
      </w:numPr>
    </w:pPr>
    <w:rPr>
      <w:sz w:val="20"/>
      <w:szCs w:val="20"/>
    </w:rPr>
  </w:style>
  <w:style w:type="character" w:styleId="Znakapoznpodarou">
    <w:name w:val="footnote reference"/>
    <w:aliases w:val="PGI Fußnote Ziffer"/>
    <w:uiPriority w:val="99"/>
    <w:rsid w:val="00491F58"/>
    <w:rPr>
      <w:vertAlign w:val="superscript"/>
    </w:rPr>
  </w:style>
  <w:style w:type="paragraph" w:customStyle="1" w:styleId="jednoodst">
    <w:name w:val="jednoodst"/>
    <w:basedOn w:val="dvojodst"/>
    <w:rsid w:val="00491F58"/>
    <w:pPr>
      <w:ind w:left="340"/>
    </w:pPr>
  </w:style>
  <w:style w:type="paragraph" w:customStyle="1" w:styleId="dvojodst">
    <w:name w:val="dvojodst"/>
    <w:basedOn w:val="Normln"/>
    <w:rsid w:val="00491F58"/>
    <w:pPr>
      <w:ind w:left="567"/>
    </w:pPr>
    <w:rPr>
      <w:sz w:val="20"/>
      <w:szCs w:val="20"/>
    </w:rPr>
  </w:style>
  <w:style w:type="paragraph" w:styleId="Textkomente">
    <w:name w:val="annotation text"/>
    <w:basedOn w:val="Normln"/>
    <w:link w:val="TextkomenteChar"/>
    <w:uiPriority w:val="99"/>
    <w:qFormat/>
    <w:rsid w:val="00491F58"/>
    <w:rPr>
      <w:sz w:val="20"/>
      <w:szCs w:val="20"/>
    </w:rPr>
  </w:style>
  <w:style w:type="paragraph" w:styleId="Textvbloku">
    <w:name w:val="Block Text"/>
    <w:basedOn w:val="Normln"/>
    <w:rsid w:val="00491F58"/>
    <w:pPr>
      <w:ind w:left="1128" w:right="990"/>
    </w:pPr>
    <w:rPr>
      <w:sz w:val="20"/>
      <w:szCs w:val="20"/>
    </w:rPr>
  </w:style>
  <w:style w:type="character" w:styleId="Siln">
    <w:name w:val="Strong"/>
    <w:basedOn w:val="Standardnpsmoodstavce"/>
    <w:uiPriority w:val="22"/>
    <w:qFormat/>
    <w:rsid w:val="008C50D7"/>
    <w:rPr>
      <w:b/>
      <w:bCs/>
    </w:rPr>
  </w:style>
  <w:style w:type="paragraph" w:styleId="Textpoznpodarou">
    <w:name w:val="footnote text"/>
    <w:basedOn w:val="Normln"/>
    <w:semiHidden/>
    <w:rsid w:val="00491F58"/>
    <w:rPr>
      <w:sz w:val="20"/>
      <w:szCs w:val="20"/>
    </w:rPr>
  </w:style>
  <w:style w:type="paragraph" w:customStyle="1" w:styleId="Styl1">
    <w:name w:val="Styl1"/>
    <w:basedOn w:val="Normln"/>
    <w:rsid w:val="00491F58"/>
    <w:pPr>
      <w:ind w:left="737"/>
    </w:pPr>
    <w:rPr>
      <w:sz w:val="22"/>
    </w:rPr>
  </w:style>
  <w:style w:type="paragraph" w:customStyle="1" w:styleId="Styl2">
    <w:name w:val="Styl2"/>
    <w:basedOn w:val="Normln"/>
    <w:rsid w:val="00491F58"/>
    <w:pPr>
      <w:numPr>
        <w:numId w:val="3"/>
      </w:numPr>
      <w:ind w:left="737" w:hanging="340"/>
    </w:pPr>
    <w:rPr>
      <w:b/>
      <w:bCs/>
      <w:sz w:val="22"/>
    </w:rPr>
  </w:style>
  <w:style w:type="paragraph" w:customStyle="1" w:styleId="psmena">
    <w:name w:val="písmena"/>
    <w:basedOn w:val="Normln"/>
    <w:rsid w:val="00491F58"/>
    <w:pPr>
      <w:numPr>
        <w:numId w:val="4"/>
      </w:numPr>
    </w:pPr>
  </w:style>
  <w:style w:type="paragraph" w:customStyle="1" w:styleId="NormlnArial">
    <w:name w:val="Normální+Arial"/>
    <w:basedOn w:val="Zkladntext3"/>
    <w:rsid w:val="00C17053"/>
    <w:pPr>
      <w:numPr>
        <w:ilvl w:val="1"/>
        <w:numId w:val="5"/>
      </w:numPr>
      <w:tabs>
        <w:tab w:val="clear" w:pos="425"/>
        <w:tab w:val="clear" w:pos="8931"/>
        <w:tab w:val="left" w:pos="5580"/>
        <w:tab w:val="left" w:pos="6840"/>
      </w:tabs>
      <w:spacing w:before="100" w:beforeAutospacing="1" w:after="100" w:afterAutospacing="1" w:line="240" w:lineRule="auto"/>
    </w:pPr>
    <w:rPr>
      <w:b w:val="0"/>
      <w:sz w:val="24"/>
      <w:szCs w:val="24"/>
    </w:rPr>
  </w:style>
  <w:style w:type="paragraph" w:styleId="Textbubliny">
    <w:name w:val="Balloon Text"/>
    <w:basedOn w:val="Normln"/>
    <w:semiHidden/>
    <w:rsid w:val="001812A8"/>
    <w:rPr>
      <w:rFonts w:ascii="Tahoma" w:hAnsi="Tahoma" w:cs="Tahoma"/>
      <w:sz w:val="16"/>
      <w:szCs w:val="16"/>
    </w:rPr>
  </w:style>
  <w:style w:type="table" w:styleId="Mkatabulky">
    <w:name w:val="Table Grid"/>
    <w:basedOn w:val="Normlntabulka"/>
    <w:rsid w:val="00191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ulkatuntext16nasted">
    <w:name w:val="Tabulka tučný text_16 na střed"/>
    <w:basedOn w:val="Normln"/>
    <w:rsid w:val="00B37553"/>
    <w:pPr>
      <w:widowControl w:val="0"/>
      <w:spacing w:after="120"/>
      <w:jc w:val="center"/>
    </w:pPr>
    <w:rPr>
      <w:b/>
      <w:noProof/>
      <w:sz w:val="32"/>
      <w:szCs w:val="32"/>
    </w:rPr>
  </w:style>
  <w:style w:type="paragraph" w:customStyle="1" w:styleId="Tabulkatuntextnasted">
    <w:name w:val="Tabulka tučný text na střed"/>
    <w:basedOn w:val="Normln"/>
    <w:rsid w:val="00B37553"/>
    <w:pPr>
      <w:widowControl w:val="0"/>
      <w:spacing w:before="40" w:after="40"/>
      <w:jc w:val="center"/>
    </w:pPr>
    <w:rPr>
      <w:b/>
      <w:noProof/>
      <w:szCs w:val="20"/>
    </w:rPr>
  </w:style>
  <w:style w:type="paragraph" w:customStyle="1" w:styleId="Tabulkazkladntext">
    <w:name w:val="Tabulka základní text"/>
    <w:basedOn w:val="Normln"/>
    <w:rsid w:val="00B37553"/>
    <w:pPr>
      <w:widowControl w:val="0"/>
      <w:spacing w:before="40" w:after="40"/>
    </w:pPr>
    <w:rPr>
      <w:noProof/>
      <w:szCs w:val="20"/>
    </w:rPr>
  </w:style>
  <w:style w:type="paragraph" w:customStyle="1" w:styleId="Tabulkazkladntextnasted">
    <w:name w:val="Tabulka základní text na střed"/>
    <w:basedOn w:val="Normln"/>
    <w:rsid w:val="00B37553"/>
    <w:pPr>
      <w:widowControl w:val="0"/>
      <w:spacing w:before="40" w:after="40"/>
      <w:jc w:val="center"/>
    </w:pPr>
    <w:rPr>
      <w:noProof/>
      <w:szCs w:val="20"/>
    </w:rPr>
  </w:style>
  <w:style w:type="numbering" w:customStyle="1" w:styleId="Bezseznamu1">
    <w:name w:val="Bez seznamu1"/>
    <w:next w:val="Bezseznamu"/>
    <w:semiHidden/>
    <w:rsid w:val="00F17C16"/>
  </w:style>
  <w:style w:type="numbering" w:customStyle="1" w:styleId="Bezseznamu2">
    <w:name w:val="Bez seznamu2"/>
    <w:next w:val="Bezseznamu"/>
    <w:semiHidden/>
    <w:rsid w:val="004F2588"/>
  </w:style>
  <w:style w:type="character" w:styleId="Sledovanodkaz">
    <w:name w:val="FollowedHyperlink"/>
    <w:rsid w:val="000F29E5"/>
    <w:rPr>
      <w:color w:val="800080"/>
      <w:u w:val="single"/>
    </w:rPr>
  </w:style>
  <w:style w:type="paragraph" w:customStyle="1" w:styleId="font5">
    <w:name w:val="font5"/>
    <w:basedOn w:val="Normln"/>
    <w:rsid w:val="000F29E5"/>
    <w:pPr>
      <w:spacing w:before="100" w:beforeAutospacing="1" w:after="100" w:afterAutospacing="1"/>
    </w:pPr>
    <w:rPr>
      <w:sz w:val="16"/>
      <w:szCs w:val="16"/>
    </w:rPr>
  </w:style>
  <w:style w:type="paragraph" w:customStyle="1" w:styleId="font6">
    <w:name w:val="font6"/>
    <w:basedOn w:val="Normln"/>
    <w:rsid w:val="000F29E5"/>
    <w:pPr>
      <w:spacing w:before="100" w:beforeAutospacing="1" w:after="100" w:afterAutospacing="1"/>
    </w:pPr>
    <w:rPr>
      <w:sz w:val="16"/>
      <w:szCs w:val="16"/>
    </w:rPr>
  </w:style>
  <w:style w:type="paragraph" w:customStyle="1" w:styleId="font7">
    <w:name w:val="font7"/>
    <w:basedOn w:val="Normln"/>
    <w:rsid w:val="000F29E5"/>
    <w:pPr>
      <w:spacing w:before="100" w:beforeAutospacing="1" w:after="100" w:afterAutospacing="1"/>
    </w:pPr>
    <w:rPr>
      <w:sz w:val="16"/>
      <w:szCs w:val="16"/>
    </w:rPr>
  </w:style>
  <w:style w:type="paragraph" w:customStyle="1" w:styleId="xl24">
    <w:name w:val="xl24"/>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25">
    <w:name w:val="xl25"/>
    <w:basedOn w:val="Normln"/>
    <w:rsid w:val="000F29E5"/>
    <w:pPr>
      <w:pBdr>
        <w:top w:val="double" w:sz="6" w:space="0" w:color="auto"/>
        <w:left w:val="double" w:sz="6" w:space="0" w:color="auto"/>
        <w:bottom w:val="double" w:sz="6" w:space="0" w:color="auto"/>
        <w:right w:val="single" w:sz="4" w:space="0" w:color="auto"/>
      </w:pBdr>
      <w:shd w:val="clear" w:color="auto" w:fill="CCFFFF"/>
      <w:spacing w:before="100" w:beforeAutospacing="1" w:after="100" w:afterAutospacing="1"/>
      <w:jc w:val="center"/>
      <w:textAlignment w:val="center"/>
    </w:pPr>
    <w:rPr>
      <w:b/>
      <w:bCs/>
    </w:rPr>
  </w:style>
  <w:style w:type="paragraph" w:customStyle="1" w:styleId="xl26">
    <w:name w:val="xl26"/>
    <w:basedOn w:val="Normln"/>
    <w:rsid w:val="000F29E5"/>
    <w:pPr>
      <w:pBdr>
        <w:top w:val="double" w:sz="6" w:space="0" w:color="auto"/>
        <w:left w:val="single" w:sz="4" w:space="0" w:color="auto"/>
        <w:bottom w:val="double" w:sz="6" w:space="0" w:color="auto"/>
        <w:right w:val="single" w:sz="4" w:space="0" w:color="auto"/>
      </w:pBdr>
      <w:shd w:val="clear" w:color="auto" w:fill="CCFFFF"/>
      <w:spacing w:before="100" w:beforeAutospacing="1" w:after="100" w:afterAutospacing="1"/>
      <w:jc w:val="center"/>
      <w:textAlignment w:val="center"/>
    </w:pPr>
    <w:rPr>
      <w:b/>
      <w:bCs/>
    </w:rPr>
  </w:style>
  <w:style w:type="paragraph" w:customStyle="1" w:styleId="xl27">
    <w:name w:val="xl27"/>
    <w:basedOn w:val="Normln"/>
    <w:rsid w:val="000F29E5"/>
    <w:pPr>
      <w:pBdr>
        <w:top w:val="double" w:sz="6" w:space="0" w:color="auto"/>
        <w:left w:val="double" w:sz="6" w:space="0" w:color="auto"/>
        <w:bottom w:val="double" w:sz="6" w:space="0" w:color="auto"/>
        <w:right w:val="single" w:sz="4" w:space="0" w:color="auto"/>
      </w:pBdr>
      <w:shd w:val="clear" w:color="auto" w:fill="99CCFF"/>
      <w:spacing w:before="100" w:beforeAutospacing="1" w:after="100" w:afterAutospacing="1"/>
      <w:jc w:val="center"/>
      <w:textAlignment w:val="center"/>
    </w:pPr>
    <w:rPr>
      <w:b/>
      <w:bCs/>
    </w:rPr>
  </w:style>
  <w:style w:type="paragraph" w:customStyle="1" w:styleId="xl28">
    <w:name w:val="xl28"/>
    <w:basedOn w:val="Normln"/>
    <w:rsid w:val="000F29E5"/>
    <w:pPr>
      <w:pBdr>
        <w:top w:val="double" w:sz="6" w:space="0" w:color="auto"/>
        <w:left w:val="single" w:sz="4" w:space="0" w:color="auto"/>
        <w:bottom w:val="double" w:sz="6" w:space="0" w:color="auto"/>
        <w:right w:val="single" w:sz="4" w:space="0" w:color="auto"/>
      </w:pBdr>
      <w:shd w:val="clear" w:color="auto" w:fill="99CCFF"/>
      <w:spacing w:before="100" w:beforeAutospacing="1" w:after="100" w:afterAutospacing="1"/>
      <w:jc w:val="center"/>
      <w:textAlignment w:val="center"/>
    </w:pPr>
    <w:rPr>
      <w:b/>
      <w:bCs/>
    </w:rPr>
  </w:style>
  <w:style w:type="paragraph" w:customStyle="1" w:styleId="xl29">
    <w:name w:val="xl29"/>
    <w:basedOn w:val="Normln"/>
    <w:rsid w:val="000F29E5"/>
    <w:pPr>
      <w:pBdr>
        <w:top w:val="double" w:sz="6" w:space="0" w:color="auto"/>
        <w:left w:val="single" w:sz="4" w:space="0" w:color="auto"/>
        <w:bottom w:val="double" w:sz="6" w:space="0" w:color="auto"/>
      </w:pBdr>
      <w:shd w:val="clear" w:color="auto" w:fill="99CCFF"/>
      <w:spacing w:before="100" w:beforeAutospacing="1" w:after="100" w:afterAutospacing="1"/>
      <w:jc w:val="center"/>
      <w:textAlignment w:val="center"/>
    </w:pPr>
    <w:rPr>
      <w:b/>
      <w:bCs/>
    </w:rPr>
  </w:style>
  <w:style w:type="paragraph" w:customStyle="1" w:styleId="xl30">
    <w:name w:val="xl30"/>
    <w:basedOn w:val="Normln"/>
    <w:rsid w:val="000F29E5"/>
    <w:pPr>
      <w:pBdr>
        <w:top w:val="double" w:sz="6" w:space="0" w:color="auto"/>
        <w:left w:val="single" w:sz="4" w:space="0" w:color="auto"/>
        <w:bottom w:val="double" w:sz="6" w:space="0" w:color="auto"/>
        <w:right w:val="single" w:sz="4" w:space="0" w:color="auto"/>
      </w:pBdr>
      <w:shd w:val="clear" w:color="auto" w:fill="CC99FF"/>
      <w:spacing w:before="100" w:beforeAutospacing="1" w:after="100" w:afterAutospacing="1"/>
      <w:jc w:val="center"/>
      <w:textAlignment w:val="center"/>
    </w:pPr>
    <w:rPr>
      <w:b/>
      <w:bCs/>
    </w:rPr>
  </w:style>
  <w:style w:type="paragraph" w:customStyle="1" w:styleId="xl31">
    <w:name w:val="xl31"/>
    <w:basedOn w:val="Normln"/>
    <w:rsid w:val="000F29E5"/>
    <w:pPr>
      <w:pBdr>
        <w:top w:val="double" w:sz="6" w:space="0" w:color="auto"/>
        <w:left w:val="single" w:sz="4" w:space="0" w:color="auto"/>
        <w:bottom w:val="double" w:sz="6" w:space="0" w:color="auto"/>
        <w:right w:val="double" w:sz="6" w:space="0" w:color="auto"/>
      </w:pBdr>
      <w:shd w:val="clear" w:color="auto" w:fill="CC99FF"/>
      <w:spacing w:before="100" w:beforeAutospacing="1" w:after="100" w:afterAutospacing="1"/>
      <w:jc w:val="center"/>
      <w:textAlignment w:val="center"/>
    </w:pPr>
    <w:rPr>
      <w:b/>
      <w:bCs/>
    </w:rPr>
  </w:style>
  <w:style w:type="paragraph" w:customStyle="1" w:styleId="xl32">
    <w:name w:val="xl32"/>
    <w:basedOn w:val="Normln"/>
    <w:rsid w:val="000F29E5"/>
    <w:pPr>
      <w:pBdr>
        <w:top w:val="double" w:sz="6" w:space="0" w:color="auto"/>
        <w:left w:val="double" w:sz="6" w:space="0" w:color="auto"/>
        <w:bottom w:val="double" w:sz="6" w:space="0" w:color="auto"/>
        <w:right w:val="single" w:sz="4" w:space="0" w:color="auto"/>
      </w:pBdr>
      <w:shd w:val="clear" w:color="auto" w:fill="CC99FF"/>
      <w:spacing w:before="100" w:beforeAutospacing="1" w:after="100" w:afterAutospacing="1"/>
      <w:jc w:val="center"/>
      <w:textAlignment w:val="center"/>
    </w:pPr>
    <w:rPr>
      <w:b/>
      <w:bCs/>
    </w:rPr>
  </w:style>
  <w:style w:type="paragraph" w:customStyle="1" w:styleId="xl33">
    <w:name w:val="xl33"/>
    <w:basedOn w:val="Normln"/>
    <w:rsid w:val="000F29E5"/>
    <w:pPr>
      <w:pBdr>
        <w:top w:val="single" w:sz="4" w:space="0" w:color="auto"/>
        <w:left w:val="double" w:sz="6"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34">
    <w:name w:val="xl34"/>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5">
    <w:name w:val="xl35"/>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6">
    <w:name w:val="xl36"/>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7">
    <w:name w:val="xl37"/>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38">
    <w:name w:val="xl38"/>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39">
    <w:name w:val="xl39"/>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40">
    <w:name w:val="xl40"/>
    <w:basedOn w:val="Normln"/>
    <w:rsid w:val="000F29E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41">
    <w:name w:val="xl41"/>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42">
    <w:name w:val="xl42"/>
    <w:basedOn w:val="Normln"/>
    <w:rsid w:val="000F29E5"/>
    <w:pPr>
      <w:pBdr>
        <w:top w:val="single" w:sz="4" w:space="0" w:color="auto"/>
        <w:left w:val="double" w:sz="6"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43">
    <w:name w:val="xl43"/>
    <w:basedOn w:val="Normln"/>
    <w:rsid w:val="000F29E5"/>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44">
    <w:name w:val="xl44"/>
    <w:basedOn w:val="Normln"/>
    <w:rsid w:val="000F29E5"/>
    <w:pPr>
      <w:pBdr>
        <w:top w:val="single" w:sz="4" w:space="0" w:color="auto"/>
        <w:left w:val="double" w:sz="6"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45">
    <w:name w:val="xl45"/>
    <w:basedOn w:val="Normln"/>
    <w:rsid w:val="000F29E5"/>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sz w:val="16"/>
      <w:szCs w:val="16"/>
    </w:rPr>
  </w:style>
  <w:style w:type="paragraph" w:customStyle="1" w:styleId="xl46">
    <w:name w:val="xl46"/>
    <w:basedOn w:val="Normln"/>
    <w:rsid w:val="000F29E5"/>
    <w:pPr>
      <w:pBdr>
        <w:top w:val="single" w:sz="4" w:space="0" w:color="auto"/>
        <w:left w:val="single" w:sz="4" w:space="0" w:color="auto"/>
        <w:bottom w:val="double" w:sz="6" w:space="0" w:color="auto"/>
        <w:right w:val="double" w:sz="6" w:space="0" w:color="auto"/>
      </w:pBdr>
      <w:spacing w:before="100" w:beforeAutospacing="1" w:after="100" w:afterAutospacing="1"/>
      <w:textAlignment w:val="center"/>
    </w:pPr>
    <w:rPr>
      <w:sz w:val="16"/>
      <w:szCs w:val="16"/>
    </w:rPr>
  </w:style>
  <w:style w:type="paragraph" w:customStyle="1" w:styleId="xl47">
    <w:name w:val="xl47"/>
    <w:basedOn w:val="Normln"/>
    <w:rsid w:val="000F29E5"/>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48">
    <w:name w:val="xl48"/>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b/>
      <w:bCs/>
      <w:sz w:val="16"/>
      <w:szCs w:val="16"/>
    </w:rPr>
  </w:style>
  <w:style w:type="paragraph" w:customStyle="1" w:styleId="xl49">
    <w:name w:val="xl49"/>
    <w:basedOn w:val="Normln"/>
    <w:rsid w:val="000F29E5"/>
    <w:pPr>
      <w:pBdr>
        <w:top w:val="single" w:sz="4" w:space="0" w:color="auto"/>
        <w:left w:val="single" w:sz="4" w:space="0" w:color="auto"/>
        <w:bottom w:val="double" w:sz="6" w:space="0" w:color="auto"/>
        <w:right w:val="double" w:sz="6" w:space="0" w:color="auto"/>
      </w:pBdr>
      <w:spacing w:before="100" w:beforeAutospacing="1" w:after="100" w:afterAutospacing="1"/>
      <w:textAlignment w:val="center"/>
    </w:pPr>
    <w:rPr>
      <w:b/>
      <w:bCs/>
      <w:sz w:val="16"/>
      <w:szCs w:val="16"/>
    </w:rPr>
  </w:style>
  <w:style w:type="paragraph" w:customStyle="1" w:styleId="xl50">
    <w:name w:val="xl50"/>
    <w:basedOn w:val="Normln"/>
    <w:rsid w:val="000F29E5"/>
    <w:pPr>
      <w:pBdr>
        <w:top w:val="double" w:sz="6" w:space="0" w:color="auto"/>
        <w:left w:val="double" w:sz="6" w:space="0" w:color="auto"/>
        <w:bottom w:val="double" w:sz="6" w:space="0" w:color="auto"/>
      </w:pBdr>
      <w:spacing w:before="100" w:beforeAutospacing="1" w:after="100" w:afterAutospacing="1"/>
      <w:textAlignment w:val="center"/>
    </w:pPr>
    <w:rPr>
      <w:b/>
      <w:bCs/>
      <w:sz w:val="16"/>
      <w:szCs w:val="16"/>
    </w:rPr>
  </w:style>
  <w:style w:type="paragraph" w:customStyle="1" w:styleId="xl51">
    <w:name w:val="xl51"/>
    <w:basedOn w:val="Normln"/>
    <w:rsid w:val="000F29E5"/>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52">
    <w:name w:val="xl52"/>
    <w:basedOn w:val="Normln"/>
    <w:rsid w:val="000F29E5"/>
    <w:pPr>
      <w:pBdr>
        <w:top w:val="double" w:sz="6" w:space="0" w:color="auto"/>
        <w:left w:val="single" w:sz="4" w:space="0" w:color="auto"/>
        <w:bottom w:val="double" w:sz="6" w:space="0" w:color="auto"/>
      </w:pBdr>
      <w:spacing w:before="100" w:beforeAutospacing="1" w:after="100" w:afterAutospacing="1"/>
      <w:textAlignment w:val="center"/>
    </w:pPr>
    <w:rPr>
      <w:b/>
      <w:bCs/>
      <w:sz w:val="16"/>
      <w:szCs w:val="16"/>
    </w:rPr>
  </w:style>
  <w:style w:type="paragraph" w:customStyle="1" w:styleId="xl53">
    <w:name w:val="xl53"/>
    <w:basedOn w:val="Normln"/>
    <w:rsid w:val="000F29E5"/>
    <w:pPr>
      <w:pBdr>
        <w:top w:val="double" w:sz="6" w:space="0" w:color="auto"/>
        <w:left w:val="double" w:sz="6"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54">
    <w:name w:val="xl54"/>
    <w:basedOn w:val="Normln"/>
    <w:rsid w:val="000F29E5"/>
    <w:pPr>
      <w:pBdr>
        <w:top w:val="double" w:sz="6" w:space="0" w:color="auto"/>
        <w:left w:val="single" w:sz="4" w:space="0" w:color="auto"/>
        <w:bottom w:val="double" w:sz="6" w:space="0" w:color="auto"/>
        <w:right w:val="double" w:sz="6" w:space="0" w:color="auto"/>
      </w:pBdr>
      <w:spacing w:before="100" w:beforeAutospacing="1" w:after="100" w:afterAutospacing="1"/>
      <w:textAlignment w:val="center"/>
    </w:pPr>
    <w:rPr>
      <w:b/>
      <w:bCs/>
      <w:sz w:val="16"/>
      <w:szCs w:val="16"/>
    </w:rPr>
  </w:style>
  <w:style w:type="paragraph" w:customStyle="1" w:styleId="xl55">
    <w:name w:val="xl55"/>
    <w:basedOn w:val="Normln"/>
    <w:rsid w:val="000F29E5"/>
    <w:pPr>
      <w:pBdr>
        <w:top w:val="double" w:sz="6" w:space="0" w:color="auto"/>
        <w:bottom w:val="double" w:sz="6" w:space="0" w:color="auto"/>
        <w:right w:val="single" w:sz="4" w:space="0" w:color="auto"/>
      </w:pBdr>
      <w:spacing w:before="100" w:beforeAutospacing="1" w:after="100" w:afterAutospacing="1"/>
      <w:textAlignment w:val="center"/>
    </w:pPr>
    <w:rPr>
      <w:b/>
      <w:bCs/>
      <w:sz w:val="16"/>
      <w:szCs w:val="16"/>
    </w:rPr>
  </w:style>
  <w:style w:type="paragraph" w:customStyle="1" w:styleId="xl56">
    <w:name w:val="xl56"/>
    <w:basedOn w:val="Normln"/>
    <w:rsid w:val="000F29E5"/>
    <w:pPr>
      <w:pBdr>
        <w:top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7">
    <w:name w:val="xl57"/>
    <w:basedOn w:val="Normln"/>
    <w:rsid w:val="000F29E5"/>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8">
    <w:name w:val="xl58"/>
    <w:basedOn w:val="Normln"/>
    <w:rsid w:val="000F29E5"/>
    <w:pPr>
      <w:pBdr>
        <w:top w:val="single" w:sz="4" w:space="0" w:color="auto"/>
        <w:left w:val="single" w:sz="4" w:space="0" w:color="auto"/>
        <w:right w:val="single" w:sz="4" w:space="0" w:color="auto"/>
      </w:pBdr>
      <w:spacing w:before="100" w:beforeAutospacing="1" w:after="100" w:afterAutospacing="1"/>
      <w:textAlignment w:val="center"/>
    </w:pPr>
    <w:rPr>
      <w:sz w:val="16"/>
      <w:szCs w:val="16"/>
    </w:rPr>
  </w:style>
  <w:style w:type="paragraph" w:customStyle="1" w:styleId="xl59">
    <w:name w:val="xl59"/>
    <w:basedOn w:val="Normln"/>
    <w:rsid w:val="000F29E5"/>
    <w:pPr>
      <w:pBdr>
        <w:left w:val="single" w:sz="4" w:space="0" w:color="auto"/>
        <w:right w:val="single" w:sz="4" w:space="0" w:color="auto"/>
      </w:pBdr>
      <w:spacing w:before="100" w:beforeAutospacing="1" w:after="100" w:afterAutospacing="1"/>
      <w:textAlignment w:val="center"/>
    </w:pPr>
    <w:rPr>
      <w:sz w:val="16"/>
      <w:szCs w:val="16"/>
    </w:rPr>
  </w:style>
  <w:style w:type="paragraph" w:customStyle="1" w:styleId="xl60">
    <w:name w:val="xl60"/>
    <w:basedOn w:val="Normln"/>
    <w:rsid w:val="000F29E5"/>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61">
    <w:name w:val="xl61"/>
    <w:basedOn w:val="Normln"/>
    <w:rsid w:val="000F29E5"/>
    <w:pPr>
      <w:pBdr>
        <w:top w:val="single" w:sz="4" w:space="0" w:color="auto"/>
        <w:left w:val="single" w:sz="4" w:space="0" w:color="auto"/>
        <w:bottom w:val="single" w:sz="4" w:space="0" w:color="auto"/>
      </w:pBdr>
      <w:spacing w:before="100" w:beforeAutospacing="1" w:after="100" w:afterAutospacing="1"/>
      <w:textAlignment w:val="center"/>
    </w:pPr>
    <w:rPr>
      <w:sz w:val="16"/>
      <w:szCs w:val="16"/>
    </w:rPr>
  </w:style>
  <w:style w:type="paragraph" w:customStyle="1" w:styleId="xl62">
    <w:name w:val="xl62"/>
    <w:basedOn w:val="Normln"/>
    <w:rsid w:val="000F29E5"/>
    <w:pPr>
      <w:pBdr>
        <w:top w:val="single" w:sz="4" w:space="0" w:color="auto"/>
        <w:left w:val="single" w:sz="4" w:space="0" w:color="auto"/>
        <w:bottom w:val="double" w:sz="6" w:space="0" w:color="auto"/>
      </w:pBdr>
      <w:spacing w:before="100" w:beforeAutospacing="1" w:after="100" w:afterAutospacing="1"/>
      <w:textAlignment w:val="center"/>
    </w:pPr>
    <w:rPr>
      <w:sz w:val="16"/>
      <w:szCs w:val="16"/>
    </w:rPr>
  </w:style>
  <w:style w:type="paragraph" w:customStyle="1" w:styleId="xl63">
    <w:name w:val="xl63"/>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64">
    <w:name w:val="xl64"/>
    <w:basedOn w:val="Normln"/>
    <w:rsid w:val="000F29E5"/>
    <w:pPr>
      <w:pBdr>
        <w:top w:val="single" w:sz="4" w:space="0" w:color="auto"/>
        <w:left w:val="single" w:sz="4" w:space="0" w:color="auto"/>
        <w:bottom w:val="single" w:sz="4" w:space="0" w:color="auto"/>
        <w:right w:val="double" w:sz="6" w:space="0" w:color="auto"/>
      </w:pBdr>
      <w:spacing w:before="100" w:beforeAutospacing="1" w:after="100" w:afterAutospacing="1"/>
      <w:textAlignment w:val="center"/>
    </w:pPr>
    <w:rPr>
      <w:sz w:val="16"/>
      <w:szCs w:val="16"/>
    </w:rPr>
  </w:style>
  <w:style w:type="paragraph" w:customStyle="1" w:styleId="xl65">
    <w:name w:val="xl65"/>
    <w:basedOn w:val="Normln"/>
    <w:rsid w:val="000F29E5"/>
    <w:pPr>
      <w:pBdr>
        <w:top w:val="single" w:sz="4" w:space="0" w:color="auto"/>
        <w:left w:val="single" w:sz="4" w:space="0" w:color="auto"/>
        <w:right w:val="double" w:sz="6" w:space="0" w:color="auto"/>
      </w:pBdr>
      <w:spacing w:before="100" w:beforeAutospacing="1" w:after="100" w:afterAutospacing="1"/>
      <w:textAlignment w:val="center"/>
    </w:pPr>
    <w:rPr>
      <w:sz w:val="16"/>
      <w:szCs w:val="16"/>
    </w:rPr>
  </w:style>
  <w:style w:type="paragraph" w:customStyle="1" w:styleId="xl66">
    <w:name w:val="xl66"/>
    <w:basedOn w:val="Normln"/>
    <w:rsid w:val="000F29E5"/>
    <w:pPr>
      <w:pBdr>
        <w:top w:val="double" w:sz="6" w:space="0" w:color="auto"/>
        <w:left w:val="single" w:sz="4" w:space="0" w:color="auto"/>
        <w:bottom w:val="double" w:sz="6" w:space="0" w:color="auto"/>
        <w:right w:val="single" w:sz="4" w:space="0" w:color="auto"/>
      </w:pBdr>
      <w:spacing w:before="100" w:beforeAutospacing="1" w:after="100" w:afterAutospacing="1"/>
    </w:pPr>
    <w:rPr>
      <w:sz w:val="16"/>
      <w:szCs w:val="16"/>
    </w:rPr>
  </w:style>
  <w:style w:type="paragraph" w:customStyle="1" w:styleId="xl67">
    <w:name w:val="xl67"/>
    <w:basedOn w:val="Normln"/>
    <w:rsid w:val="000F29E5"/>
    <w:pPr>
      <w:pBdr>
        <w:top w:val="double" w:sz="6" w:space="0" w:color="auto"/>
        <w:left w:val="single" w:sz="4" w:space="0" w:color="auto"/>
        <w:bottom w:val="double" w:sz="6" w:space="0" w:color="auto"/>
        <w:right w:val="double" w:sz="6" w:space="0" w:color="auto"/>
      </w:pBdr>
      <w:spacing w:before="100" w:beforeAutospacing="1" w:after="100" w:afterAutospacing="1"/>
    </w:pPr>
    <w:rPr>
      <w:sz w:val="16"/>
      <w:szCs w:val="16"/>
    </w:rPr>
  </w:style>
  <w:style w:type="paragraph" w:customStyle="1" w:styleId="xl68">
    <w:name w:val="xl68"/>
    <w:basedOn w:val="Normln"/>
    <w:rsid w:val="000F29E5"/>
    <w:pPr>
      <w:pBdr>
        <w:top w:val="double" w:sz="6" w:space="0" w:color="auto"/>
        <w:left w:val="double" w:sz="6" w:space="0" w:color="auto"/>
        <w:bottom w:val="double" w:sz="6" w:space="0" w:color="auto"/>
      </w:pBdr>
      <w:shd w:val="clear" w:color="auto" w:fill="CC99FF"/>
      <w:spacing w:before="100" w:beforeAutospacing="1" w:after="100" w:afterAutospacing="1"/>
      <w:jc w:val="center"/>
      <w:textAlignment w:val="top"/>
    </w:pPr>
    <w:rPr>
      <w:b/>
      <w:bCs/>
      <w:i/>
      <w:iCs/>
      <w:sz w:val="18"/>
      <w:szCs w:val="18"/>
    </w:rPr>
  </w:style>
  <w:style w:type="paragraph" w:customStyle="1" w:styleId="xl69">
    <w:name w:val="xl69"/>
    <w:basedOn w:val="Normln"/>
    <w:rsid w:val="000F29E5"/>
    <w:pPr>
      <w:pBdr>
        <w:top w:val="double" w:sz="6" w:space="0" w:color="auto"/>
        <w:bottom w:val="double" w:sz="6" w:space="0" w:color="auto"/>
      </w:pBdr>
      <w:shd w:val="clear" w:color="auto" w:fill="CC99FF"/>
      <w:spacing w:before="100" w:beforeAutospacing="1" w:after="100" w:afterAutospacing="1"/>
      <w:jc w:val="center"/>
      <w:textAlignment w:val="top"/>
    </w:pPr>
    <w:rPr>
      <w:b/>
      <w:bCs/>
      <w:i/>
      <w:iCs/>
      <w:sz w:val="18"/>
      <w:szCs w:val="18"/>
    </w:rPr>
  </w:style>
  <w:style w:type="paragraph" w:customStyle="1" w:styleId="xl70">
    <w:name w:val="xl70"/>
    <w:basedOn w:val="Normln"/>
    <w:rsid w:val="000F29E5"/>
    <w:pPr>
      <w:pBdr>
        <w:top w:val="double" w:sz="6" w:space="0" w:color="auto"/>
        <w:bottom w:val="double" w:sz="6" w:space="0" w:color="auto"/>
        <w:right w:val="double" w:sz="6" w:space="0" w:color="auto"/>
      </w:pBdr>
      <w:shd w:val="clear" w:color="auto" w:fill="CC99FF"/>
      <w:spacing w:before="100" w:beforeAutospacing="1" w:after="100" w:afterAutospacing="1"/>
      <w:jc w:val="center"/>
      <w:textAlignment w:val="top"/>
    </w:pPr>
    <w:rPr>
      <w:b/>
      <w:bCs/>
      <w:i/>
      <w:iCs/>
      <w:sz w:val="18"/>
      <w:szCs w:val="18"/>
    </w:rPr>
  </w:style>
  <w:style w:type="paragraph" w:customStyle="1" w:styleId="xl71">
    <w:name w:val="xl71"/>
    <w:basedOn w:val="Normln"/>
    <w:rsid w:val="000F29E5"/>
    <w:pPr>
      <w:pBdr>
        <w:top w:val="double" w:sz="6" w:space="0" w:color="auto"/>
        <w:left w:val="double" w:sz="6" w:space="0" w:color="auto"/>
        <w:bottom w:val="double" w:sz="6" w:space="0" w:color="auto"/>
      </w:pBdr>
      <w:shd w:val="clear" w:color="auto" w:fill="99CCFF"/>
      <w:spacing w:before="100" w:beforeAutospacing="1" w:after="100" w:afterAutospacing="1"/>
      <w:jc w:val="center"/>
      <w:textAlignment w:val="top"/>
    </w:pPr>
    <w:rPr>
      <w:b/>
      <w:bCs/>
      <w:i/>
      <w:iCs/>
      <w:sz w:val="18"/>
      <w:szCs w:val="18"/>
    </w:rPr>
  </w:style>
  <w:style w:type="paragraph" w:customStyle="1" w:styleId="xl72">
    <w:name w:val="xl72"/>
    <w:basedOn w:val="Normln"/>
    <w:rsid w:val="000F29E5"/>
    <w:pPr>
      <w:pBdr>
        <w:top w:val="double" w:sz="6" w:space="0" w:color="auto"/>
        <w:bottom w:val="double" w:sz="6" w:space="0" w:color="auto"/>
      </w:pBdr>
      <w:shd w:val="clear" w:color="auto" w:fill="99CCFF"/>
      <w:spacing w:before="100" w:beforeAutospacing="1" w:after="100" w:afterAutospacing="1"/>
      <w:jc w:val="center"/>
      <w:textAlignment w:val="top"/>
    </w:pPr>
    <w:rPr>
      <w:b/>
      <w:bCs/>
      <w:i/>
      <w:iCs/>
      <w:sz w:val="18"/>
      <w:szCs w:val="18"/>
    </w:rPr>
  </w:style>
  <w:style w:type="paragraph" w:customStyle="1" w:styleId="xl73">
    <w:name w:val="xl73"/>
    <w:basedOn w:val="Normln"/>
    <w:rsid w:val="000F29E5"/>
    <w:pPr>
      <w:pBdr>
        <w:top w:val="double" w:sz="6" w:space="0" w:color="auto"/>
        <w:bottom w:val="double" w:sz="6" w:space="0" w:color="auto"/>
        <w:right w:val="double" w:sz="6" w:space="0" w:color="auto"/>
      </w:pBdr>
      <w:shd w:val="clear" w:color="auto" w:fill="99CCFF"/>
      <w:spacing w:before="100" w:beforeAutospacing="1" w:after="100" w:afterAutospacing="1"/>
      <w:jc w:val="center"/>
      <w:textAlignment w:val="top"/>
    </w:pPr>
    <w:rPr>
      <w:b/>
      <w:bCs/>
      <w:i/>
      <w:iCs/>
      <w:sz w:val="18"/>
      <w:szCs w:val="18"/>
    </w:rPr>
  </w:style>
  <w:style w:type="paragraph" w:customStyle="1" w:styleId="xl74">
    <w:name w:val="xl74"/>
    <w:basedOn w:val="Normln"/>
    <w:rsid w:val="000F29E5"/>
    <w:pPr>
      <w:pBdr>
        <w:top w:val="double" w:sz="6" w:space="0" w:color="auto"/>
        <w:left w:val="double" w:sz="6" w:space="0" w:color="auto"/>
        <w:bottom w:val="double" w:sz="6" w:space="0" w:color="auto"/>
      </w:pBdr>
      <w:shd w:val="clear" w:color="auto" w:fill="CCFFFF"/>
      <w:spacing w:before="100" w:beforeAutospacing="1" w:after="100" w:afterAutospacing="1"/>
      <w:jc w:val="center"/>
      <w:textAlignment w:val="top"/>
    </w:pPr>
    <w:rPr>
      <w:b/>
      <w:bCs/>
      <w:i/>
      <w:iCs/>
      <w:sz w:val="18"/>
      <w:szCs w:val="18"/>
    </w:rPr>
  </w:style>
  <w:style w:type="paragraph" w:customStyle="1" w:styleId="xl75">
    <w:name w:val="xl75"/>
    <w:basedOn w:val="Normln"/>
    <w:rsid w:val="000F29E5"/>
    <w:pPr>
      <w:pBdr>
        <w:top w:val="double" w:sz="6" w:space="0" w:color="auto"/>
        <w:bottom w:val="double" w:sz="6" w:space="0" w:color="auto"/>
      </w:pBdr>
      <w:shd w:val="clear" w:color="auto" w:fill="CCFFFF"/>
      <w:spacing w:before="100" w:beforeAutospacing="1" w:after="100" w:afterAutospacing="1"/>
      <w:jc w:val="center"/>
      <w:textAlignment w:val="top"/>
    </w:pPr>
    <w:rPr>
      <w:b/>
      <w:bCs/>
      <w:i/>
      <w:iCs/>
      <w:sz w:val="18"/>
      <w:szCs w:val="18"/>
    </w:rPr>
  </w:style>
  <w:style w:type="paragraph" w:customStyle="1" w:styleId="xl76">
    <w:name w:val="xl76"/>
    <w:basedOn w:val="Normln"/>
    <w:rsid w:val="000F29E5"/>
    <w:pPr>
      <w:pBdr>
        <w:top w:val="double" w:sz="6" w:space="0" w:color="auto"/>
        <w:bottom w:val="double" w:sz="6" w:space="0" w:color="auto"/>
        <w:right w:val="double" w:sz="6" w:space="0" w:color="auto"/>
      </w:pBdr>
      <w:shd w:val="clear" w:color="auto" w:fill="CCFFFF"/>
      <w:spacing w:before="100" w:beforeAutospacing="1" w:after="100" w:afterAutospacing="1"/>
      <w:jc w:val="center"/>
      <w:textAlignment w:val="top"/>
    </w:pPr>
    <w:rPr>
      <w:b/>
      <w:bCs/>
      <w:i/>
      <w:iCs/>
      <w:sz w:val="18"/>
      <w:szCs w:val="18"/>
    </w:rPr>
  </w:style>
  <w:style w:type="paragraph" w:customStyle="1" w:styleId="xl77">
    <w:name w:val="xl77"/>
    <w:basedOn w:val="Normln"/>
    <w:rsid w:val="000F29E5"/>
    <w:pPr>
      <w:pBdr>
        <w:top w:val="double" w:sz="6" w:space="0" w:color="auto"/>
        <w:left w:val="single" w:sz="4" w:space="0" w:color="auto"/>
        <w:bottom w:val="double" w:sz="6" w:space="0" w:color="auto"/>
      </w:pBdr>
      <w:shd w:val="clear" w:color="auto" w:fill="CCFFFF"/>
      <w:spacing w:before="100" w:beforeAutospacing="1" w:after="100" w:afterAutospacing="1"/>
      <w:jc w:val="center"/>
      <w:textAlignment w:val="center"/>
    </w:pPr>
    <w:rPr>
      <w:b/>
      <w:bCs/>
    </w:rPr>
  </w:style>
  <w:style w:type="paragraph" w:customStyle="1" w:styleId="xl78">
    <w:name w:val="xl78"/>
    <w:basedOn w:val="Normln"/>
    <w:rsid w:val="000F29E5"/>
    <w:pPr>
      <w:pBdr>
        <w:top w:val="double" w:sz="6" w:space="0" w:color="auto"/>
        <w:bottom w:val="double" w:sz="6" w:space="0" w:color="auto"/>
        <w:right w:val="double" w:sz="6" w:space="0" w:color="auto"/>
      </w:pBdr>
      <w:shd w:val="clear" w:color="auto" w:fill="CCFFFF"/>
      <w:spacing w:before="100" w:beforeAutospacing="1" w:after="100" w:afterAutospacing="1"/>
      <w:jc w:val="center"/>
      <w:textAlignment w:val="center"/>
    </w:pPr>
    <w:rPr>
      <w:b/>
      <w:bCs/>
    </w:rPr>
  </w:style>
  <w:style w:type="paragraph" w:customStyle="1" w:styleId="TabulkazkladntextCharChar">
    <w:name w:val="Tabulka základní text Char Char"/>
    <w:basedOn w:val="Normln"/>
    <w:link w:val="TabulkazkladntextCharCharChar"/>
    <w:rsid w:val="00191E36"/>
    <w:pPr>
      <w:widowControl w:val="0"/>
      <w:spacing w:before="40" w:after="40"/>
    </w:pPr>
    <w:rPr>
      <w:noProof/>
    </w:rPr>
  </w:style>
  <w:style w:type="character" w:customStyle="1" w:styleId="TabulkazkladntextCharCharChar">
    <w:name w:val="Tabulka základní text Char Char Char"/>
    <w:link w:val="TabulkazkladntextCharChar"/>
    <w:rsid w:val="00191E36"/>
    <w:rPr>
      <w:rFonts w:ascii="Arial" w:hAnsi="Arial" w:cs="Arial"/>
      <w:noProof/>
      <w:sz w:val="24"/>
      <w:szCs w:val="24"/>
      <w:lang w:val="cs-CZ" w:eastAsia="cs-CZ" w:bidi="ar-SA"/>
    </w:rPr>
  </w:style>
  <w:style w:type="paragraph" w:customStyle="1" w:styleId="Radaplohy">
    <w:name w:val="Rada přílohy"/>
    <w:basedOn w:val="Normln"/>
    <w:rsid w:val="008E7A9E"/>
    <w:pPr>
      <w:widowControl w:val="0"/>
      <w:spacing w:before="480" w:after="120"/>
    </w:pPr>
    <w:rPr>
      <w:noProof/>
      <w:szCs w:val="20"/>
      <w:u w:val="single"/>
    </w:rPr>
  </w:style>
  <w:style w:type="paragraph" w:customStyle="1" w:styleId="Radaploha1">
    <w:name w:val="Rada příloha č.1"/>
    <w:basedOn w:val="Normln"/>
    <w:rsid w:val="008E7A9E"/>
    <w:pPr>
      <w:widowControl w:val="0"/>
      <w:spacing w:after="120"/>
    </w:pPr>
    <w:rPr>
      <w:noProof/>
      <w:szCs w:val="20"/>
      <w:u w:val="single"/>
    </w:rPr>
  </w:style>
  <w:style w:type="paragraph" w:customStyle="1" w:styleId="Zkladntextodsazendek">
    <w:name w:val="Základní text odsazený řádek"/>
    <w:basedOn w:val="Normln"/>
    <w:link w:val="ZkladntextodsazendekChar"/>
    <w:rsid w:val="00FF61E5"/>
    <w:pPr>
      <w:widowControl w:val="0"/>
      <w:spacing w:after="120"/>
      <w:ind w:firstLine="567"/>
    </w:pPr>
  </w:style>
  <w:style w:type="paragraph" w:customStyle="1" w:styleId="Rozvrendokumentu">
    <w:name w:val="Rozvržení dokumentu"/>
    <w:basedOn w:val="Normln"/>
    <w:semiHidden/>
    <w:rsid w:val="005C09D8"/>
    <w:pPr>
      <w:shd w:val="clear" w:color="auto" w:fill="000080"/>
    </w:pPr>
    <w:rPr>
      <w:rFonts w:ascii="Tahoma" w:hAnsi="Tahoma" w:cs="Tahoma"/>
      <w:sz w:val="20"/>
      <w:szCs w:val="20"/>
    </w:rPr>
  </w:style>
  <w:style w:type="paragraph" w:customStyle="1" w:styleId="Vborhlasovn">
    <w:name w:val="Výbor hlasování"/>
    <w:basedOn w:val="Normln"/>
    <w:rsid w:val="00027C3F"/>
  </w:style>
  <w:style w:type="paragraph" w:customStyle="1" w:styleId="Vbornzevusnesen">
    <w:name w:val="Výbor název usnesení"/>
    <w:basedOn w:val="Normln"/>
    <w:rsid w:val="00027C3F"/>
    <w:pPr>
      <w:widowControl w:val="0"/>
      <w:spacing w:after="120"/>
      <w:ind w:left="1701" w:hanging="1701"/>
    </w:pPr>
    <w:rPr>
      <w:b/>
      <w:noProof/>
      <w:szCs w:val="20"/>
    </w:rPr>
  </w:style>
  <w:style w:type="paragraph" w:customStyle="1" w:styleId="Podtren">
    <w:name w:val="Podtržení"/>
    <w:basedOn w:val="Normln"/>
    <w:rsid w:val="00027C3F"/>
    <w:pPr>
      <w:widowControl w:val="0"/>
      <w:pBdr>
        <w:bottom w:val="single" w:sz="4" w:space="1" w:color="auto"/>
      </w:pBdr>
    </w:pPr>
    <w:rPr>
      <w:noProof/>
      <w:sz w:val="18"/>
      <w:szCs w:val="20"/>
    </w:rPr>
  </w:style>
  <w:style w:type="paragraph" w:customStyle="1" w:styleId="Znak2odsazen1text">
    <w:name w:val="Znak2 odsazený1 text"/>
    <w:basedOn w:val="Normln"/>
    <w:rsid w:val="00027C3F"/>
    <w:pPr>
      <w:widowControl w:val="0"/>
      <w:numPr>
        <w:numId w:val="7"/>
      </w:numPr>
      <w:spacing w:after="120"/>
    </w:pPr>
    <w:rPr>
      <w:noProof/>
      <w:szCs w:val="20"/>
    </w:rPr>
  </w:style>
  <w:style w:type="character" w:customStyle="1" w:styleId="Tunznak">
    <w:name w:val="Tučný znak"/>
    <w:rsid w:val="00027C3F"/>
    <w:rPr>
      <w:rFonts w:ascii="Arial" w:hAnsi="Arial"/>
      <w:b/>
      <w:dstrike w:val="0"/>
      <w:color w:val="auto"/>
      <w:sz w:val="24"/>
      <w:u w:val="none"/>
      <w:vertAlign w:val="baseline"/>
    </w:rPr>
  </w:style>
  <w:style w:type="paragraph" w:customStyle="1" w:styleId="Tunproloentext">
    <w:name w:val="Tučný proložený text"/>
    <w:basedOn w:val="Normln"/>
    <w:rsid w:val="00027C3F"/>
    <w:pPr>
      <w:widowControl w:val="0"/>
      <w:spacing w:after="120"/>
    </w:pPr>
    <w:rPr>
      <w:b/>
      <w:noProof/>
      <w:spacing w:val="60"/>
      <w:szCs w:val="20"/>
    </w:rPr>
  </w:style>
  <w:style w:type="paragraph" w:customStyle="1" w:styleId="Vbornzev">
    <w:name w:val="Výbor název"/>
    <w:basedOn w:val="Normln"/>
    <w:rsid w:val="00027C3F"/>
    <w:pPr>
      <w:spacing w:before="240" w:after="240"/>
    </w:pPr>
    <w:rPr>
      <w:b/>
    </w:rPr>
  </w:style>
  <w:style w:type="paragraph" w:customStyle="1" w:styleId="Odsazen2text">
    <w:name w:val="Odsazený2 text"/>
    <w:basedOn w:val="Normln"/>
    <w:rsid w:val="00F2263C"/>
    <w:pPr>
      <w:widowControl w:val="0"/>
      <w:tabs>
        <w:tab w:val="num" w:pos="1134"/>
      </w:tabs>
      <w:spacing w:after="120"/>
      <w:ind w:left="1134" w:hanging="567"/>
    </w:pPr>
    <w:rPr>
      <w:noProof/>
      <w:szCs w:val="20"/>
    </w:rPr>
  </w:style>
  <w:style w:type="paragraph" w:customStyle="1" w:styleId="slo111text">
    <w:name w:val="Číslo1.1.1 text"/>
    <w:basedOn w:val="Normln"/>
    <w:rsid w:val="00F2263C"/>
    <w:pPr>
      <w:widowControl w:val="0"/>
      <w:tabs>
        <w:tab w:val="num" w:pos="1854"/>
      </w:tabs>
      <w:spacing w:after="120"/>
      <w:ind w:left="1701" w:hanging="567"/>
      <w:outlineLvl w:val="2"/>
    </w:pPr>
    <w:rPr>
      <w:noProof/>
      <w:szCs w:val="20"/>
    </w:rPr>
  </w:style>
  <w:style w:type="character" w:customStyle="1" w:styleId="Standardnpsmo">
    <w:name w:val="Standardní písmo"/>
    <w:rsid w:val="00F2263C"/>
    <w:rPr>
      <w:rFonts w:ascii="Arial" w:hAnsi="Arial"/>
      <w:dstrike w:val="0"/>
      <w:color w:val="auto"/>
      <w:sz w:val="24"/>
      <w:u w:val="none"/>
      <w:vertAlign w:val="baseline"/>
    </w:rPr>
  </w:style>
  <w:style w:type="paragraph" w:customStyle="1" w:styleId="tabulkazkladntextcharchar0">
    <w:name w:val="tabulkazkladntextcharchar"/>
    <w:basedOn w:val="Normln"/>
    <w:rsid w:val="007A1F87"/>
    <w:pPr>
      <w:spacing w:before="40" w:after="40"/>
    </w:pPr>
  </w:style>
  <w:style w:type="paragraph" w:customStyle="1" w:styleId="Text">
    <w:name w:val="Text"/>
    <w:basedOn w:val="Normln"/>
    <w:link w:val="TextChar"/>
    <w:qFormat/>
    <w:rsid w:val="008C50D7"/>
    <w:rPr>
      <w:rFonts w:eastAsia="Arial Unicode MS"/>
      <w:color w:val="000000"/>
      <w:szCs w:val="24"/>
    </w:rPr>
  </w:style>
  <w:style w:type="character" w:customStyle="1" w:styleId="TextChar">
    <w:name w:val="Text Char"/>
    <w:basedOn w:val="Standardnpsmoodstavce"/>
    <w:link w:val="Text"/>
    <w:rsid w:val="008C50D7"/>
    <w:rPr>
      <w:rFonts w:ascii="Arial" w:eastAsia="Arial Unicode MS" w:hAnsi="Arial" w:cs="Arial"/>
      <w:color w:val="000000"/>
      <w:sz w:val="24"/>
      <w:szCs w:val="24"/>
    </w:rPr>
  </w:style>
  <w:style w:type="paragraph" w:customStyle="1" w:styleId="slovn">
    <w:name w:val="číslování"/>
    <w:basedOn w:val="Zkladntext"/>
    <w:link w:val="slovnChar"/>
    <w:qFormat/>
    <w:rsid w:val="008C50D7"/>
    <w:pPr>
      <w:numPr>
        <w:ilvl w:val="1"/>
        <w:numId w:val="9"/>
      </w:numPr>
      <w:tabs>
        <w:tab w:val="clear" w:pos="1418"/>
        <w:tab w:val="clear" w:pos="1843"/>
      </w:tabs>
    </w:pPr>
    <w:rPr>
      <w:rFonts w:eastAsia="Arial Unicode MS"/>
      <w:sz w:val="24"/>
      <w:szCs w:val="24"/>
    </w:rPr>
  </w:style>
  <w:style w:type="paragraph" w:customStyle="1" w:styleId="slovn2">
    <w:name w:val="číslování 2"/>
    <w:basedOn w:val="Zkladntext"/>
    <w:link w:val="slovn2Char"/>
    <w:qFormat/>
    <w:rsid w:val="008C50D7"/>
    <w:pPr>
      <w:numPr>
        <w:ilvl w:val="7"/>
        <w:numId w:val="1"/>
      </w:numPr>
      <w:tabs>
        <w:tab w:val="clear" w:pos="1440"/>
        <w:tab w:val="clear" w:pos="1843"/>
      </w:tabs>
      <w:ind w:left="993" w:hanging="426"/>
    </w:pPr>
    <w:rPr>
      <w:rFonts w:eastAsia="Arial Unicode MS"/>
      <w:sz w:val="24"/>
      <w:szCs w:val="24"/>
    </w:rPr>
  </w:style>
  <w:style w:type="character" w:customStyle="1" w:styleId="slovnChar">
    <w:name w:val="číslování Char"/>
    <w:basedOn w:val="Standardnpsmoodstavce"/>
    <w:link w:val="slovn"/>
    <w:rsid w:val="008C50D7"/>
    <w:rPr>
      <w:rFonts w:ascii="Arial" w:eastAsia="Arial Unicode MS" w:hAnsi="Arial" w:cs="Arial"/>
      <w:sz w:val="24"/>
      <w:szCs w:val="24"/>
    </w:rPr>
  </w:style>
  <w:style w:type="paragraph" w:styleId="Odstavecseseznamem">
    <w:name w:val="List Paragraph"/>
    <w:aliases w:val="Odstavec_muj,Nad,List Paragraph,Odstavec_muj1,Odstavec_muj2,Odstavec_muj3,Nad1,List Paragraph1,Odstavec_muj4,Nad2,List Paragraph2,Odstavec_muj5,Odstavec_muj6,Odstavec_muj7,Odstavec_muj8,Odstavec_muj9,Odstavec_muj10,Odstavec_muj11"/>
    <w:basedOn w:val="Normln"/>
    <w:link w:val="OdstavecseseznamemChar"/>
    <w:uiPriority w:val="34"/>
    <w:qFormat/>
    <w:rsid w:val="008C50D7"/>
    <w:pPr>
      <w:ind w:left="720"/>
      <w:contextualSpacing/>
    </w:pPr>
  </w:style>
  <w:style w:type="character" w:styleId="Odkaznakoment">
    <w:name w:val="annotation reference"/>
    <w:basedOn w:val="Standardnpsmoodstavce"/>
    <w:uiPriority w:val="99"/>
    <w:qFormat/>
    <w:rsid w:val="00C75773"/>
    <w:rPr>
      <w:sz w:val="16"/>
      <w:szCs w:val="16"/>
    </w:rPr>
  </w:style>
  <w:style w:type="paragraph" w:styleId="Pedmtkomente">
    <w:name w:val="annotation subject"/>
    <w:basedOn w:val="Textkomente"/>
    <w:next w:val="Textkomente"/>
    <w:link w:val="PedmtkomenteChar"/>
    <w:rsid w:val="00C75773"/>
    <w:pPr>
      <w:spacing w:line="240" w:lineRule="auto"/>
    </w:pPr>
    <w:rPr>
      <w:b/>
      <w:bCs/>
    </w:rPr>
  </w:style>
  <w:style w:type="character" w:customStyle="1" w:styleId="TextkomenteChar">
    <w:name w:val="Text komentáře Char"/>
    <w:basedOn w:val="Standardnpsmoodstavce"/>
    <w:link w:val="Textkomente"/>
    <w:uiPriority w:val="99"/>
    <w:qFormat/>
    <w:rsid w:val="00C75773"/>
    <w:rPr>
      <w:rFonts w:ascii="Arial" w:eastAsia="Arial Unicode MS" w:hAnsi="Arial" w:cs="Arial"/>
    </w:rPr>
  </w:style>
  <w:style w:type="character" w:customStyle="1" w:styleId="PedmtkomenteChar">
    <w:name w:val="Předmět komentáře Char"/>
    <w:basedOn w:val="TextkomenteChar"/>
    <w:link w:val="Pedmtkomente"/>
    <w:rsid w:val="00C75773"/>
    <w:rPr>
      <w:rFonts w:ascii="Arial" w:eastAsia="Arial Unicode MS" w:hAnsi="Arial" w:cs="Arial"/>
      <w:b/>
      <w:bCs/>
    </w:rPr>
  </w:style>
  <w:style w:type="paragraph" w:customStyle="1" w:styleId="Textpsmene">
    <w:name w:val="Text písmene"/>
    <w:basedOn w:val="Normln"/>
    <w:rsid w:val="00C76B47"/>
    <w:pPr>
      <w:spacing w:before="0" w:line="240" w:lineRule="auto"/>
      <w:outlineLvl w:val="7"/>
    </w:pPr>
    <w:rPr>
      <w:rFonts w:ascii="Times New Roman" w:eastAsia="Times New Roman" w:hAnsi="Times New Roman" w:cs="Times New Roman"/>
      <w:szCs w:val="20"/>
    </w:rPr>
  </w:style>
  <w:style w:type="paragraph" w:customStyle="1" w:styleId="Default">
    <w:name w:val="Default"/>
    <w:rsid w:val="00B37BDD"/>
    <w:pPr>
      <w:autoSpaceDE w:val="0"/>
      <w:autoSpaceDN w:val="0"/>
      <w:adjustRightInd w:val="0"/>
    </w:pPr>
    <w:rPr>
      <w:color w:val="000000"/>
      <w:sz w:val="24"/>
      <w:szCs w:val="24"/>
    </w:rPr>
  </w:style>
  <w:style w:type="character" w:customStyle="1" w:styleId="Nadpis1Char">
    <w:name w:val="Nadpis 1 Char"/>
    <w:basedOn w:val="Standardnpsmoodstavce"/>
    <w:link w:val="Nadpis1"/>
    <w:uiPriority w:val="99"/>
    <w:rsid w:val="008C50D7"/>
    <w:rPr>
      <w:rFonts w:ascii="Arial" w:eastAsia="Arial Unicode MS" w:hAnsi="Arial" w:cs="Aharoni"/>
      <w:bCs/>
      <w:sz w:val="36"/>
      <w:szCs w:val="24"/>
    </w:rPr>
  </w:style>
  <w:style w:type="character" w:customStyle="1" w:styleId="Nadpis2Char">
    <w:name w:val="Nadpis 2 Char"/>
    <w:basedOn w:val="Standardnpsmoodstavce"/>
    <w:link w:val="Nadpis2"/>
    <w:uiPriority w:val="99"/>
    <w:rsid w:val="008C50D7"/>
    <w:rPr>
      <w:rFonts w:ascii="Arial" w:eastAsia="Arial Unicode MS" w:hAnsi="Arial" w:cs="Arial"/>
      <w:sz w:val="32"/>
      <w:szCs w:val="24"/>
    </w:rPr>
  </w:style>
  <w:style w:type="character" w:customStyle="1" w:styleId="Nadpis3Char">
    <w:name w:val="Nadpis 3 Char"/>
    <w:basedOn w:val="Standardnpsmoodstavce"/>
    <w:link w:val="Nadpis3"/>
    <w:uiPriority w:val="9"/>
    <w:rsid w:val="008C50D7"/>
    <w:rPr>
      <w:rFonts w:ascii="Arial" w:eastAsiaTheme="majorEastAsia" w:hAnsi="Arial" w:cs="Arial"/>
      <w:b/>
      <w:bCs/>
      <w:sz w:val="28"/>
      <w:szCs w:val="26"/>
    </w:rPr>
  </w:style>
  <w:style w:type="character" w:customStyle="1" w:styleId="Nadpis4Char">
    <w:name w:val="Nadpis 4 Char"/>
    <w:basedOn w:val="Standardnpsmoodstavce"/>
    <w:link w:val="Nadpis4"/>
    <w:uiPriority w:val="9"/>
    <w:rsid w:val="008C50D7"/>
    <w:rPr>
      <w:rFonts w:ascii="Arial" w:eastAsia="Calibri" w:hAnsi="Arial" w:cs="Arial"/>
      <w:b/>
      <w:i/>
      <w:sz w:val="36"/>
      <w:szCs w:val="34"/>
      <w:shd w:val="clear" w:color="auto" w:fill="FFFFFF"/>
    </w:rPr>
  </w:style>
  <w:style w:type="character" w:customStyle="1" w:styleId="Nadpis5Char">
    <w:name w:val="Nadpis 5 Char"/>
    <w:basedOn w:val="Standardnpsmoodstavce"/>
    <w:link w:val="Nadpis5"/>
    <w:uiPriority w:val="9"/>
    <w:rsid w:val="008C50D7"/>
    <w:rPr>
      <w:rFonts w:asciiTheme="majorHAnsi" w:eastAsiaTheme="majorEastAsia" w:hAnsiTheme="majorHAnsi" w:cstheme="majorBidi"/>
      <w:color w:val="243F60" w:themeColor="accent1" w:themeShade="7F"/>
      <w:sz w:val="24"/>
    </w:rPr>
  </w:style>
  <w:style w:type="character" w:customStyle="1" w:styleId="Nadpis6Char">
    <w:name w:val="Nadpis 6 Char"/>
    <w:basedOn w:val="Standardnpsmoodstavce"/>
    <w:link w:val="Nadpis6"/>
    <w:uiPriority w:val="9"/>
    <w:rsid w:val="008C50D7"/>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rsid w:val="008C50D7"/>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rsid w:val="008C50D7"/>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rsid w:val="008C50D7"/>
    <w:rPr>
      <w:rFonts w:asciiTheme="majorHAnsi" w:eastAsiaTheme="majorEastAsia" w:hAnsiTheme="majorHAnsi" w:cstheme="majorBidi"/>
      <w:i/>
      <w:iCs/>
      <w:color w:val="404040" w:themeColor="text1" w:themeTint="BF"/>
      <w:sz w:val="20"/>
      <w:szCs w:val="20"/>
    </w:rPr>
  </w:style>
  <w:style w:type="character" w:customStyle="1" w:styleId="NzevChar">
    <w:name w:val="Název Char"/>
    <w:basedOn w:val="Standardnpsmoodstavce"/>
    <w:link w:val="Nzev"/>
    <w:uiPriority w:val="10"/>
    <w:rsid w:val="008C50D7"/>
    <w:rPr>
      <w:rFonts w:ascii="Cambria" w:hAnsi="Cambria" w:cs="Arial"/>
      <w:color w:val="17365D"/>
      <w:spacing w:val="5"/>
      <w:kern w:val="28"/>
      <w:sz w:val="52"/>
      <w:szCs w:val="52"/>
    </w:rPr>
  </w:style>
  <w:style w:type="paragraph" w:styleId="Podnadpis">
    <w:name w:val="Subtitle"/>
    <w:aliases w:val="Obsah"/>
    <w:basedOn w:val="Normln"/>
    <w:next w:val="Normln"/>
    <w:link w:val="PodnadpisChar"/>
    <w:uiPriority w:val="11"/>
    <w:qFormat/>
    <w:rsid w:val="008C50D7"/>
    <w:pPr>
      <w:numPr>
        <w:ilvl w:val="1"/>
      </w:numPr>
    </w:pPr>
    <w:rPr>
      <w:rFonts w:asciiTheme="majorHAnsi" w:eastAsiaTheme="majorEastAsia" w:hAnsiTheme="majorHAnsi" w:cstheme="majorBidi"/>
      <w:i/>
      <w:iCs/>
      <w:color w:val="4F81BD" w:themeColor="accent1"/>
      <w:spacing w:val="15"/>
      <w:szCs w:val="24"/>
    </w:rPr>
  </w:style>
  <w:style w:type="character" w:customStyle="1" w:styleId="PodnadpisChar">
    <w:name w:val="Podnadpis Char"/>
    <w:aliases w:val="Obsah Char"/>
    <w:basedOn w:val="Standardnpsmoodstavce"/>
    <w:link w:val="Podnadpis"/>
    <w:uiPriority w:val="11"/>
    <w:rsid w:val="008C50D7"/>
    <w:rPr>
      <w:rFonts w:asciiTheme="majorHAnsi" w:eastAsiaTheme="majorEastAsia" w:hAnsiTheme="majorHAnsi" w:cstheme="majorBidi"/>
      <w:i/>
      <w:iCs/>
      <w:color w:val="4F81BD" w:themeColor="accent1"/>
      <w:spacing w:val="15"/>
      <w:sz w:val="24"/>
      <w:szCs w:val="24"/>
    </w:rPr>
  </w:style>
  <w:style w:type="character" w:styleId="Zdraznn">
    <w:name w:val="Emphasis"/>
    <w:basedOn w:val="Standardnpsmoodstavce"/>
    <w:uiPriority w:val="20"/>
    <w:qFormat/>
    <w:rsid w:val="008C50D7"/>
    <w:rPr>
      <w:i/>
      <w:iCs/>
    </w:rPr>
  </w:style>
  <w:style w:type="paragraph" w:styleId="Nadpisobsahu">
    <w:name w:val="TOC Heading"/>
    <w:basedOn w:val="Nadpis1"/>
    <w:next w:val="Normln"/>
    <w:uiPriority w:val="39"/>
    <w:semiHidden/>
    <w:unhideWhenUsed/>
    <w:qFormat/>
    <w:rsid w:val="008C50D7"/>
    <w:pPr>
      <w:numPr>
        <w:numId w:val="0"/>
      </w:numPr>
      <w:pBdr>
        <w:bottom w:val="none" w:sz="0" w:space="0" w:color="auto"/>
      </w:pBdr>
      <w:spacing w:before="480" w:after="0"/>
      <w:jc w:val="left"/>
      <w:outlineLvl w:val="9"/>
    </w:pPr>
    <w:rPr>
      <w:rFonts w:asciiTheme="majorHAnsi" w:eastAsiaTheme="majorEastAsia" w:hAnsiTheme="majorHAnsi" w:cstheme="majorBidi"/>
      <w:b/>
      <w:color w:val="365F91" w:themeColor="accent1" w:themeShade="BF"/>
      <w:sz w:val="28"/>
      <w:szCs w:val="28"/>
    </w:rPr>
  </w:style>
  <w:style w:type="character" w:customStyle="1" w:styleId="slovn2Char">
    <w:name w:val="číslování 2 Char"/>
    <w:basedOn w:val="Standardnpsmoodstavce"/>
    <w:link w:val="slovn2"/>
    <w:rsid w:val="008C50D7"/>
    <w:rPr>
      <w:rFonts w:ascii="Arial" w:eastAsia="Arial Unicode MS" w:hAnsi="Arial" w:cs="Arial"/>
      <w:sz w:val="24"/>
      <w:szCs w:val="24"/>
    </w:rPr>
  </w:style>
  <w:style w:type="paragraph" w:customStyle="1" w:styleId="Vborodpovdatermn">
    <w:name w:val="Výbor odpovídá a termín"/>
    <w:basedOn w:val="Text"/>
    <w:rsid w:val="00DA7AB4"/>
    <w:pPr>
      <w:widowControl w:val="0"/>
      <w:tabs>
        <w:tab w:val="left" w:pos="6521"/>
      </w:tabs>
      <w:spacing w:before="240" w:line="240" w:lineRule="auto"/>
    </w:pPr>
    <w:rPr>
      <w:rFonts w:eastAsia="Times New Roman" w:cs="Times New Roman"/>
      <w:noProof/>
      <w:color w:val="auto"/>
      <w:szCs w:val="22"/>
    </w:rPr>
  </w:style>
  <w:style w:type="paragraph" w:customStyle="1" w:styleId="Normal">
    <w:name w:val="[Normal]"/>
    <w:rsid w:val="00C01788"/>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ZpatChar">
    <w:name w:val="Zápatí Char"/>
    <w:basedOn w:val="Standardnpsmoodstavce"/>
    <w:link w:val="Zpat"/>
    <w:rsid w:val="0020542E"/>
    <w:rPr>
      <w:rFonts w:ascii="Arial" w:hAnsi="Arial" w:cs="Arial"/>
    </w:rPr>
  </w:style>
  <w:style w:type="paragraph" w:customStyle="1" w:styleId="Dopisosloven">
    <w:name w:val="Dopis oslovení"/>
    <w:basedOn w:val="Normln"/>
    <w:uiPriority w:val="99"/>
    <w:rsid w:val="00613DD9"/>
    <w:pPr>
      <w:widowControl w:val="0"/>
      <w:spacing w:before="360" w:after="240" w:line="240" w:lineRule="auto"/>
    </w:pPr>
    <w:rPr>
      <w:rFonts w:eastAsia="Times New Roman" w:cs="Times New Roman"/>
      <w:szCs w:val="20"/>
    </w:rPr>
  </w:style>
  <w:style w:type="character" w:customStyle="1" w:styleId="RadadvodovzprvaChar">
    <w:name w:val="Rada důvodová zpráva Char"/>
    <w:link w:val="Radadvodovzprva"/>
    <w:locked/>
    <w:rsid w:val="000061A5"/>
    <w:rPr>
      <w:rFonts w:ascii="Arial" w:eastAsia="Times New Roman" w:hAnsi="Arial" w:cs="Times New Roman"/>
      <w:b/>
      <w:noProof/>
      <w:sz w:val="24"/>
      <w:szCs w:val="20"/>
    </w:rPr>
  </w:style>
  <w:style w:type="paragraph" w:customStyle="1" w:styleId="Radadvodovzprva">
    <w:name w:val="Rada důvodová zpráva"/>
    <w:basedOn w:val="Normln"/>
    <w:link w:val="RadadvodovzprvaChar"/>
    <w:rsid w:val="000061A5"/>
    <w:pPr>
      <w:widowControl w:val="0"/>
      <w:spacing w:before="0" w:after="480" w:line="240" w:lineRule="auto"/>
    </w:pPr>
    <w:rPr>
      <w:rFonts w:eastAsia="Times New Roman" w:cs="Times New Roman"/>
      <w:b/>
      <w:noProof/>
      <w:szCs w:val="20"/>
    </w:rPr>
  </w:style>
  <w:style w:type="paragraph" w:customStyle="1" w:styleId="Odrky0">
    <w:name w:val="Odrážky"/>
    <w:basedOn w:val="Odstavecseseznamem"/>
    <w:link w:val="OdrkyChar"/>
    <w:qFormat/>
    <w:rsid w:val="00B82AFB"/>
    <w:pPr>
      <w:numPr>
        <w:numId w:val="10"/>
      </w:numPr>
      <w:spacing w:line="252" w:lineRule="auto"/>
      <w:ind w:left="357" w:hanging="357"/>
      <w:contextualSpacing w:val="0"/>
    </w:pPr>
    <w:rPr>
      <w:rFonts w:eastAsia="Arial Unicode MS"/>
      <w:szCs w:val="24"/>
    </w:rPr>
  </w:style>
  <w:style w:type="character" w:customStyle="1" w:styleId="OdrkyChar">
    <w:name w:val="Odrážky Char"/>
    <w:basedOn w:val="Standardnpsmoodstavce"/>
    <w:link w:val="Odrky0"/>
    <w:rsid w:val="00B82AFB"/>
    <w:rPr>
      <w:rFonts w:ascii="Arial" w:eastAsia="Arial Unicode MS" w:hAnsi="Arial" w:cs="Arial"/>
      <w:sz w:val="24"/>
      <w:szCs w:val="24"/>
    </w:rPr>
  </w:style>
  <w:style w:type="paragraph" w:customStyle="1" w:styleId="slo1text">
    <w:name w:val="Číslo1 text"/>
    <w:basedOn w:val="Normln"/>
    <w:rsid w:val="00057704"/>
    <w:pPr>
      <w:widowControl w:val="0"/>
      <w:spacing w:before="0" w:after="120" w:line="240" w:lineRule="auto"/>
      <w:outlineLvl w:val="0"/>
    </w:pPr>
    <w:rPr>
      <w:rFonts w:eastAsia="Times New Roman" w:cs="Times New Roman"/>
      <w:noProof/>
      <w:szCs w:val="20"/>
    </w:rPr>
  </w:style>
  <w:style w:type="paragraph" w:customStyle="1" w:styleId="Poznmkapodarou">
    <w:name w:val="Poznámka pod čarou"/>
    <w:basedOn w:val="Textpoznpodarou"/>
    <w:link w:val="PoznmkapodarouChar"/>
    <w:qFormat/>
    <w:rsid w:val="0031144E"/>
    <w:pPr>
      <w:spacing w:before="0" w:line="240" w:lineRule="auto"/>
    </w:pPr>
    <w:rPr>
      <w:i/>
    </w:rPr>
  </w:style>
  <w:style w:type="character" w:customStyle="1" w:styleId="PoznmkapodarouChar">
    <w:name w:val="Poznámka pod čarou Char"/>
    <w:basedOn w:val="Standardnpsmoodstavce"/>
    <w:link w:val="Poznmkapodarou"/>
    <w:qFormat/>
    <w:rsid w:val="0031144E"/>
    <w:rPr>
      <w:rFonts w:ascii="Arial" w:hAnsi="Arial" w:cs="Arial"/>
      <w:i/>
      <w:sz w:val="20"/>
      <w:szCs w:val="20"/>
    </w:rPr>
  </w:style>
  <w:style w:type="character" w:customStyle="1" w:styleId="Zkladntext3Char">
    <w:name w:val="Základní text 3 Char"/>
    <w:basedOn w:val="Standardnpsmoodstavce"/>
    <w:link w:val="Zkladntext3"/>
    <w:rsid w:val="004B2D14"/>
    <w:rPr>
      <w:rFonts w:ascii="Arial" w:hAnsi="Arial" w:cs="Arial"/>
      <w:b/>
      <w:bCs/>
      <w:sz w:val="20"/>
      <w:szCs w:val="20"/>
    </w:rPr>
  </w:style>
  <w:style w:type="paragraph" w:customStyle="1" w:styleId="Textpoznpodarou1">
    <w:name w:val="Text pozn. pod čarou1"/>
    <w:basedOn w:val="Normln"/>
    <w:qFormat/>
    <w:rsid w:val="003906FB"/>
    <w:pPr>
      <w:spacing w:before="0"/>
    </w:pPr>
    <w:rPr>
      <w:i/>
      <w:szCs w:val="24"/>
    </w:rPr>
  </w:style>
  <w:style w:type="paragraph" w:styleId="Revize">
    <w:name w:val="Revision"/>
    <w:hidden/>
    <w:uiPriority w:val="99"/>
    <w:semiHidden/>
    <w:rsid w:val="00E307C8"/>
    <w:pPr>
      <w:spacing w:after="0" w:line="240" w:lineRule="auto"/>
    </w:pPr>
    <w:rPr>
      <w:rFonts w:ascii="Arial" w:hAnsi="Arial" w:cs="Arial"/>
      <w:sz w:val="24"/>
    </w:rPr>
  </w:style>
  <w:style w:type="character" w:customStyle="1" w:styleId="OdstavecseseznamemChar">
    <w:name w:val="Odstavec se seznamem Char"/>
    <w:aliases w:val="Odstavec_muj Char,Nad Char,List Paragraph Char,Odstavec_muj1 Char,Odstavec_muj2 Char,Odstavec_muj3 Char,Nad1 Char,List Paragraph1 Char,Odstavec_muj4 Char,Nad2 Char,List Paragraph2 Char,Odstavec_muj5 Char,Odstavec_muj6 Char"/>
    <w:basedOn w:val="Standardnpsmoodstavce"/>
    <w:link w:val="Odstavecseseznamem"/>
    <w:uiPriority w:val="34"/>
    <w:qFormat/>
    <w:rsid w:val="00C940F8"/>
    <w:rPr>
      <w:rFonts w:ascii="Arial" w:hAnsi="Arial" w:cs="Arial"/>
      <w:sz w:val="24"/>
    </w:rPr>
  </w:style>
  <w:style w:type="character" w:customStyle="1" w:styleId="ZkladntextodsazendekChar">
    <w:name w:val="Základní text odsazený řádek Char"/>
    <w:basedOn w:val="Standardnpsmoodstavce"/>
    <w:link w:val="Zkladntextodsazendek"/>
    <w:locked/>
    <w:rsid w:val="001A57EC"/>
    <w:rPr>
      <w:rFonts w:ascii="Arial" w:hAnsi="Arial" w:cs="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8455">
      <w:bodyDiv w:val="1"/>
      <w:marLeft w:val="0"/>
      <w:marRight w:val="0"/>
      <w:marTop w:val="0"/>
      <w:marBottom w:val="0"/>
      <w:divBdr>
        <w:top w:val="none" w:sz="0" w:space="0" w:color="auto"/>
        <w:left w:val="none" w:sz="0" w:space="0" w:color="auto"/>
        <w:bottom w:val="none" w:sz="0" w:space="0" w:color="auto"/>
        <w:right w:val="none" w:sz="0" w:space="0" w:color="auto"/>
      </w:divBdr>
    </w:div>
    <w:div w:id="20983258">
      <w:bodyDiv w:val="1"/>
      <w:marLeft w:val="0"/>
      <w:marRight w:val="0"/>
      <w:marTop w:val="0"/>
      <w:marBottom w:val="0"/>
      <w:divBdr>
        <w:top w:val="none" w:sz="0" w:space="0" w:color="auto"/>
        <w:left w:val="none" w:sz="0" w:space="0" w:color="auto"/>
        <w:bottom w:val="none" w:sz="0" w:space="0" w:color="auto"/>
        <w:right w:val="none" w:sz="0" w:space="0" w:color="auto"/>
      </w:divBdr>
    </w:div>
    <w:div w:id="44112882">
      <w:bodyDiv w:val="1"/>
      <w:marLeft w:val="0"/>
      <w:marRight w:val="0"/>
      <w:marTop w:val="0"/>
      <w:marBottom w:val="0"/>
      <w:divBdr>
        <w:top w:val="none" w:sz="0" w:space="0" w:color="auto"/>
        <w:left w:val="none" w:sz="0" w:space="0" w:color="auto"/>
        <w:bottom w:val="none" w:sz="0" w:space="0" w:color="auto"/>
        <w:right w:val="none" w:sz="0" w:space="0" w:color="auto"/>
      </w:divBdr>
    </w:div>
    <w:div w:id="97877468">
      <w:bodyDiv w:val="1"/>
      <w:marLeft w:val="0"/>
      <w:marRight w:val="0"/>
      <w:marTop w:val="0"/>
      <w:marBottom w:val="0"/>
      <w:divBdr>
        <w:top w:val="none" w:sz="0" w:space="0" w:color="auto"/>
        <w:left w:val="none" w:sz="0" w:space="0" w:color="auto"/>
        <w:bottom w:val="none" w:sz="0" w:space="0" w:color="auto"/>
        <w:right w:val="none" w:sz="0" w:space="0" w:color="auto"/>
      </w:divBdr>
    </w:div>
    <w:div w:id="120803401">
      <w:bodyDiv w:val="1"/>
      <w:marLeft w:val="0"/>
      <w:marRight w:val="0"/>
      <w:marTop w:val="0"/>
      <w:marBottom w:val="0"/>
      <w:divBdr>
        <w:top w:val="none" w:sz="0" w:space="0" w:color="auto"/>
        <w:left w:val="none" w:sz="0" w:space="0" w:color="auto"/>
        <w:bottom w:val="none" w:sz="0" w:space="0" w:color="auto"/>
        <w:right w:val="none" w:sz="0" w:space="0" w:color="auto"/>
      </w:divBdr>
    </w:div>
    <w:div w:id="149296445">
      <w:bodyDiv w:val="1"/>
      <w:marLeft w:val="0"/>
      <w:marRight w:val="0"/>
      <w:marTop w:val="0"/>
      <w:marBottom w:val="0"/>
      <w:divBdr>
        <w:top w:val="none" w:sz="0" w:space="0" w:color="auto"/>
        <w:left w:val="none" w:sz="0" w:space="0" w:color="auto"/>
        <w:bottom w:val="none" w:sz="0" w:space="0" w:color="auto"/>
        <w:right w:val="none" w:sz="0" w:space="0" w:color="auto"/>
      </w:divBdr>
    </w:div>
    <w:div w:id="216549834">
      <w:bodyDiv w:val="1"/>
      <w:marLeft w:val="0"/>
      <w:marRight w:val="0"/>
      <w:marTop w:val="0"/>
      <w:marBottom w:val="0"/>
      <w:divBdr>
        <w:top w:val="none" w:sz="0" w:space="0" w:color="auto"/>
        <w:left w:val="none" w:sz="0" w:space="0" w:color="auto"/>
        <w:bottom w:val="none" w:sz="0" w:space="0" w:color="auto"/>
        <w:right w:val="none" w:sz="0" w:space="0" w:color="auto"/>
      </w:divBdr>
      <w:divsChild>
        <w:div w:id="1652056886">
          <w:marLeft w:val="547"/>
          <w:marRight w:val="0"/>
          <w:marTop w:val="115"/>
          <w:marBottom w:val="0"/>
          <w:divBdr>
            <w:top w:val="none" w:sz="0" w:space="0" w:color="auto"/>
            <w:left w:val="none" w:sz="0" w:space="0" w:color="auto"/>
            <w:bottom w:val="none" w:sz="0" w:space="0" w:color="auto"/>
            <w:right w:val="none" w:sz="0" w:space="0" w:color="auto"/>
          </w:divBdr>
        </w:div>
        <w:div w:id="713772197">
          <w:marLeft w:val="1166"/>
          <w:marRight w:val="0"/>
          <w:marTop w:val="96"/>
          <w:marBottom w:val="0"/>
          <w:divBdr>
            <w:top w:val="none" w:sz="0" w:space="0" w:color="auto"/>
            <w:left w:val="none" w:sz="0" w:space="0" w:color="auto"/>
            <w:bottom w:val="none" w:sz="0" w:space="0" w:color="auto"/>
            <w:right w:val="none" w:sz="0" w:space="0" w:color="auto"/>
          </w:divBdr>
        </w:div>
        <w:div w:id="327179072">
          <w:marLeft w:val="1166"/>
          <w:marRight w:val="0"/>
          <w:marTop w:val="96"/>
          <w:marBottom w:val="0"/>
          <w:divBdr>
            <w:top w:val="none" w:sz="0" w:space="0" w:color="auto"/>
            <w:left w:val="none" w:sz="0" w:space="0" w:color="auto"/>
            <w:bottom w:val="none" w:sz="0" w:space="0" w:color="auto"/>
            <w:right w:val="none" w:sz="0" w:space="0" w:color="auto"/>
          </w:divBdr>
        </w:div>
        <w:div w:id="954365525">
          <w:marLeft w:val="547"/>
          <w:marRight w:val="0"/>
          <w:marTop w:val="115"/>
          <w:marBottom w:val="0"/>
          <w:divBdr>
            <w:top w:val="none" w:sz="0" w:space="0" w:color="auto"/>
            <w:left w:val="none" w:sz="0" w:space="0" w:color="auto"/>
            <w:bottom w:val="none" w:sz="0" w:space="0" w:color="auto"/>
            <w:right w:val="none" w:sz="0" w:space="0" w:color="auto"/>
          </w:divBdr>
        </w:div>
        <w:div w:id="2059812591">
          <w:marLeft w:val="1166"/>
          <w:marRight w:val="0"/>
          <w:marTop w:val="96"/>
          <w:marBottom w:val="0"/>
          <w:divBdr>
            <w:top w:val="none" w:sz="0" w:space="0" w:color="auto"/>
            <w:left w:val="none" w:sz="0" w:space="0" w:color="auto"/>
            <w:bottom w:val="none" w:sz="0" w:space="0" w:color="auto"/>
            <w:right w:val="none" w:sz="0" w:space="0" w:color="auto"/>
          </w:divBdr>
        </w:div>
        <w:div w:id="864831924">
          <w:marLeft w:val="1166"/>
          <w:marRight w:val="0"/>
          <w:marTop w:val="96"/>
          <w:marBottom w:val="0"/>
          <w:divBdr>
            <w:top w:val="none" w:sz="0" w:space="0" w:color="auto"/>
            <w:left w:val="none" w:sz="0" w:space="0" w:color="auto"/>
            <w:bottom w:val="none" w:sz="0" w:space="0" w:color="auto"/>
            <w:right w:val="none" w:sz="0" w:space="0" w:color="auto"/>
          </w:divBdr>
        </w:div>
        <w:div w:id="1077090433">
          <w:marLeft w:val="1166"/>
          <w:marRight w:val="0"/>
          <w:marTop w:val="96"/>
          <w:marBottom w:val="0"/>
          <w:divBdr>
            <w:top w:val="none" w:sz="0" w:space="0" w:color="auto"/>
            <w:left w:val="none" w:sz="0" w:space="0" w:color="auto"/>
            <w:bottom w:val="none" w:sz="0" w:space="0" w:color="auto"/>
            <w:right w:val="none" w:sz="0" w:space="0" w:color="auto"/>
          </w:divBdr>
        </w:div>
      </w:divsChild>
    </w:div>
    <w:div w:id="238756138">
      <w:bodyDiv w:val="1"/>
      <w:marLeft w:val="0"/>
      <w:marRight w:val="0"/>
      <w:marTop w:val="0"/>
      <w:marBottom w:val="0"/>
      <w:divBdr>
        <w:top w:val="none" w:sz="0" w:space="0" w:color="auto"/>
        <w:left w:val="none" w:sz="0" w:space="0" w:color="auto"/>
        <w:bottom w:val="none" w:sz="0" w:space="0" w:color="auto"/>
        <w:right w:val="none" w:sz="0" w:space="0" w:color="auto"/>
      </w:divBdr>
    </w:div>
    <w:div w:id="242029444">
      <w:bodyDiv w:val="1"/>
      <w:marLeft w:val="0"/>
      <w:marRight w:val="0"/>
      <w:marTop w:val="0"/>
      <w:marBottom w:val="0"/>
      <w:divBdr>
        <w:top w:val="none" w:sz="0" w:space="0" w:color="auto"/>
        <w:left w:val="none" w:sz="0" w:space="0" w:color="auto"/>
        <w:bottom w:val="none" w:sz="0" w:space="0" w:color="auto"/>
        <w:right w:val="none" w:sz="0" w:space="0" w:color="auto"/>
      </w:divBdr>
    </w:div>
    <w:div w:id="396712288">
      <w:bodyDiv w:val="1"/>
      <w:marLeft w:val="0"/>
      <w:marRight w:val="0"/>
      <w:marTop w:val="0"/>
      <w:marBottom w:val="0"/>
      <w:divBdr>
        <w:top w:val="none" w:sz="0" w:space="0" w:color="auto"/>
        <w:left w:val="none" w:sz="0" w:space="0" w:color="auto"/>
        <w:bottom w:val="none" w:sz="0" w:space="0" w:color="auto"/>
        <w:right w:val="none" w:sz="0" w:space="0" w:color="auto"/>
      </w:divBdr>
    </w:div>
    <w:div w:id="451561112">
      <w:bodyDiv w:val="1"/>
      <w:marLeft w:val="0"/>
      <w:marRight w:val="0"/>
      <w:marTop w:val="0"/>
      <w:marBottom w:val="0"/>
      <w:divBdr>
        <w:top w:val="none" w:sz="0" w:space="0" w:color="auto"/>
        <w:left w:val="none" w:sz="0" w:space="0" w:color="auto"/>
        <w:bottom w:val="none" w:sz="0" w:space="0" w:color="auto"/>
        <w:right w:val="none" w:sz="0" w:space="0" w:color="auto"/>
      </w:divBdr>
    </w:div>
    <w:div w:id="483476206">
      <w:bodyDiv w:val="1"/>
      <w:marLeft w:val="0"/>
      <w:marRight w:val="0"/>
      <w:marTop w:val="0"/>
      <w:marBottom w:val="0"/>
      <w:divBdr>
        <w:top w:val="none" w:sz="0" w:space="0" w:color="auto"/>
        <w:left w:val="none" w:sz="0" w:space="0" w:color="auto"/>
        <w:bottom w:val="none" w:sz="0" w:space="0" w:color="auto"/>
        <w:right w:val="none" w:sz="0" w:space="0" w:color="auto"/>
      </w:divBdr>
    </w:div>
    <w:div w:id="489250414">
      <w:bodyDiv w:val="1"/>
      <w:marLeft w:val="0"/>
      <w:marRight w:val="0"/>
      <w:marTop w:val="0"/>
      <w:marBottom w:val="0"/>
      <w:divBdr>
        <w:top w:val="none" w:sz="0" w:space="0" w:color="auto"/>
        <w:left w:val="none" w:sz="0" w:space="0" w:color="auto"/>
        <w:bottom w:val="none" w:sz="0" w:space="0" w:color="auto"/>
        <w:right w:val="none" w:sz="0" w:space="0" w:color="auto"/>
      </w:divBdr>
    </w:div>
    <w:div w:id="507409096">
      <w:bodyDiv w:val="1"/>
      <w:marLeft w:val="0"/>
      <w:marRight w:val="0"/>
      <w:marTop w:val="0"/>
      <w:marBottom w:val="0"/>
      <w:divBdr>
        <w:top w:val="none" w:sz="0" w:space="0" w:color="auto"/>
        <w:left w:val="none" w:sz="0" w:space="0" w:color="auto"/>
        <w:bottom w:val="none" w:sz="0" w:space="0" w:color="auto"/>
        <w:right w:val="none" w:sz="0" w:space="0" w:color="auto"/>
      </w:divBdr>
    </w:div>
    <w:div w:id="554855975">
      <w:bodyDiv w:val="1"/>
      <w:marLeft w:val="0"/>
      <w:marRight w:val="0"/>
      <w:marTop w:val="0"/>
      <w:marBottom w:val="0"/>
      <w:divBdr>
        <w:top w:val="none" w:sz="0" w:space="0" w:color="auto"/>
        <w:left w:val="none" w:sz="0" w:space="0" w:color="auto"/>
        <w:bottom w:val="none" w:sz="0" w:space="0" w:color="auto"/>
        <w:right w:val="none" w:sz="0" w:space="0" w:color="auto"/>
      </w:divBdr>
    </w:div>
    <w:div w:id="558632850">
      <w:bodyDiv w:val="1"/>
      <w:marLeft w:val="0"/>
      <w:marRight w:val="0"/>
      <w:marTop w:val="0"/>
      <w:marBottom w:val="0"/>
      <w:divBdr>
        <w:top w:val="none" w:sz="0" w:space="0" w:color="auto"/>
        <w:left w:val="none" w:sz="0" w:space="0" w:color="auto"/>
        <w:bottom w:val="none" w:sz="0" w:space="0" w:color="auto"/>
        <w:right w:val="none" w:sz="0" w:space="0" w:color="auto"/>
      </w:divBdr>
    </w:div>
    <w:div w:id="561595546">
      <w:bodyDiv w:val="1"/>
      <w:marLeft w:val="0"/>
      <w:marRight w:val="0"/>
      <w:marTop w:val="0"/>
      <w:marBottom w:val="0"/>
      <w:divBdr>
        <w:top w:val="none" w:sz="0" w:space="0" w:color="auto"/>
        <w:left w:val="none" w:sz="0" w:space="0" w:color="auto"/>
        <w:bottom w:val="none" w:sz="0" w:space="0" w:color="auto"/>
        <w:right w:val="none" w:sz="0" w:space="0" w:color="auto"/>
      </w:divBdr>
    </w:div>
    <w:div w:id="585262329">
      <w:bodyDiv w:val="1"/>
      <w:marLeft w:val="0"/>
      <w:marRight w:val="0"/>
      <w:marTop w:val="0"/>
      <w:marBottom w:val="0"/>
      <w:divBdr>
        <w:top w:val="none" w:sz="0" w:space="0" w:color="auto"/>
        <w:left w:val="none" w:sz="0" w:space="0" w:color="auto"/>
        <w:bottom w:val="none" w:sz="0" w:space="0" w:color="auto"/>
        <w:right w:val="none" w:sz="0" w:space="0" w:color="auto"/>
      </w:divBdr>
    </w:div>
    <w:div w:id="648435178">
      <w:bodyDiv w:val="1"/>
      <w:marLeft w:val="0"/>
      <w:marRight w:val="0"/>
      <w:marTop w:val="0"/>
      <w:marBottom w:val="0"/>
      <w:divBdr>
        <w:top w:val="none" w:sz="0" w:space="0" w:color="auto"/>
        <w:left w:val="none" w:sz="0" w:space="0" w:color="auto"/>
        <w:bottom w:val="none" w:sz="0" w:space="0" w:color="auto"/>
        <w:right w:val="none" w:sz="0" w:space="0" w:color="auto"/>
      </w:divBdr>
    </w:div>
    <w:div w:id="726996197">
      <w:bodyDiv w:val="1"/>
      <w:marLeft w:val="0"/>
      <w:marRight w:val="0"/>
      <w:marTop w:val="0"/>
      <w:marBottom w:val="0"/>
      <w:divBdr>
        <w:top w:val="none" w:sz="0" w:space="0" w:color="auto"/>
        <w:left w:val="none" w:sz="0" w:space="0" w:color="auto"/>
        <w:bottom w:val="none" w:sz="0" w:space="0" w:color="auto"/>
        <w:right w:val="none" w:sz="0" w:space="0" w:color="auto"/>
      </w:divBdr>
    </w:div>
    <w:div w:id="755327997">
      <w:bodyDiv w:val="1"/>
      <w:marLeft w:val="0"/>
      <w:marRight w:val="0"/>
      <w:marTop w:val="0"/>
      <w:marBottom w:val="0"/>
      <w:divBdr>
        <w:top w:val="none" w:sz="0" w:space="0" w:color="auto"/>
        <w:left w:val="none" w:sz="0" w:space="0" w:color="auto"/>
        <w:bottom w:val="none" w:sz="0" w:space="0" w:color="auto"/>
        <w:right w:val="none" w:sz="0" w:space="0" w:color="auto"/>
      </w:divBdr>
    </w:div>
    <w:div w:id="781607399">
      <w:bodyDiv w:val="1"/>
      <w:marLeft w:val="0"/>
      <w:marRight w:val="0"/>
      <w:marTop w:val="0"/>
      <w:marBottom w:val="0"/>
      <w:divBdr>
        <w:top w:val="none" w:sz="0" w:space="0" w:color="auto"/>
        <w:left w:val="none" w:sz="0" w:space="0" w:color="auto"/>
        <w:bottom w:val="none" w:sz="0" w:space="0" w:color="auto"/>
        <w:right w:val="none" w:sz="0" w:space="0" w:color="auto"/>
      </w:divBdr>
    </w:div>
    <w:div w:id="844782939">
      <w:bodyDiv w:val="1"/>
      <w:marLeft w:val="0"/>
      <w:marRight w:val="0"/>
      <w:marTop w:val="0"/>
      <w:marBottom w:val="0"/>
      <w:divBdr>
        <w:top w:val="none" w:sz="0" w:space="0" w:color="auto"/>
        <w:left w:val="none" w:sz="0" w:space="0" w:color="auto"/>
        <w:bottom w:val="none" w:sz="0" w:space="0" w:color="auto"/>
        <w:right w:val="none" w:sz="0" w:space="0" w:color="auto"/>
      </w:divBdr>
    </w:div>
    <w:div w:id="892352483">
      <w:bodyDiv w:val="1"/>
      <w:marLeft w:val="0"/>
      <w:marRight w:val="0"/>
      <w:marTop w:val="0"/>
      <w:marBottom w:val="0"/>
      <w:divBdr>
        <w:top w:val="none" w:sz="0" w:space="0" w:color="auto"/>
        <w:left w:val="none" w:sz="0" w:space="0" w:color="auto"/>
        <w:bottom w:val="none" w:sz="0" w:space="0" w:color="auto"/>
        <w:right w:val="none" w:sz="0" w:space="0" w:color="auto"/>
      </w:divBdr>
    </w:div>
    <w:div w:id="937640889">
      <w:bodyDiv w:val="1"/>
      <w:marLeft w:val="0"/>
      <w:marRight w:val="0"/>
      <w:marTop w:val="0"/>
      <w:marBottom w:val="0"/>
      <w:divBdr>
        <w:top w:val="none" w:sz="0" w:space="0" w:color="auto"/>
        <w:left w:val="none" w:sz="0" w:space="0" w:color="auto"/>
        <w:bottom w:val="none" w:sz="0" w:space="0" w:color="auto"/>
        <w:right w:val="none" w:sz="0" w:space="0" w:color="auto"/>
      </w:divBdr>
    </w:div>
    <w:div w:id="1013847111">
      <w:bodyDiv w:val="1"/>
      <w:marLeft w:val="0"/>
      <w:marRight w:val="0"/>
      <w:marTop w:val="0"/>
      <w:marBottom w:val="0"/>
      <w:divBdr>
        <w:top w:val="none" w:sz="0" w:space="0" w:color="auto"/>
        <w:left w:val="none" w:sz="0" w:space="0" w:color="auto"/>
        <w:bottom w:val="none" w:sz="0" w:space="0" w:color="auto"/>
        <w:right w:val="none" w:sz="0" w:space="0" w:color="auto"/>
      </w:divBdr>
    </w:div>
    <w:div w:id="1025516308">
      <w:bodyDiv w:val="1"/>
      <w:marLeft w:val="0"/>
      <w:marRight w:val="0"/>
      <w:marTop w:val="0"/>
      <w:marBottom w:val="0"/>
      <w:divBdr>
        <w:top w:val="none" w:sz="0" w:space="0" w:color="auto"/>
        <w:left w:val="none" w:sz="0" w:space="0" w:color="auto"/>
        <w:bottom w:val="none" w:sz="0" w:space="0" w:color="auto"/>
        <w:right w:val="none" w:sz="0" w:space="0" w:color="auto"/>
      </w:divBdr>
    </w:div>
    <w:div w:id="1030451587">
      <w:bodyDiv w:val="1"/>
      <w:marLeft w:val="0"/>
      <w:marRight w:val="0"/>
      <w:marTop w:val="0"/>
      <w:marBottom w:val="0"/>
      <w:divBdr>
        <w:top w:val="none" w:sz="0" w:space="0" w:color="auto"/>
        <w:left w:val="none" w:sz="0" w:space="0" w:color="auto"/>
        <w:bottom w:val="none" w:sz="0" w:space="0" w:color="auto"/>
        <w:right w:val="none" w:sz="0" w:space="0" w:color="auto"/>
      </w:divBdr>
    </w:div>
    <w:div w:id="1074470729">
      <w:bodyDiv w:val="1"/>
      <w:marLeft w:val="0"/>
      <w:marRight w:val="0"/>
      <w:marTop w:val="0"/>
      <w:marBottom w:val="0"/>
      <w:divBdr>
        <w:top w:val="none" w:sz="0" w:space="0" w:color="auto"/>
        <w:left w:val="none" w:sz="0" w:space="0" w:color="auto"/>
        <w:bottom w:val="none" w:sz="0" w:space="0" w:color="auto"/>
        <w:right w:val="none" w:sz="0" w:space="0" w:color="auto"/>
      </w:divBdr>
    </w:div>
    <w:div w:id="1169297412">
      <w:bodyDiv w:val="1"/>
      <w:marLeft w:val="0"/>
      <w:marRight w:val="0"/>
      <w:marTop w:val="0"/>
      <w:marBottom w:val="0"/>
      <w:divBdr>
        <w:top w:val="none" w:sz="0" w:space="0" w:color="auto"/>
        <w:left w:val="none" w:sz="0" w:space="0" w:color="auto"/>
        <w:bottom w:val="none" w:sz="0" w:space="0" w:color="auto"/>
        <w:right w:val="none" w:sz="0" w:space="0" w:color="auto"/>
      </w:divBdr>
    </w:div>
    <w:div w:id="1188104532">
      <w:bodyDiv w:val="1"/>
      <w:marLeft w:val="0"/>
      <w:marRight w:val="0"/>
      <w:marTop w:val="0"/>
      <w:marBottom w:val="0"/>
      <w:divBdr>
        <w:top w:val="none" w:sz="0" w:space="0" w:color="auto"/>
        <w:left w:val="none" w:sz="0" w:space="0" w:color="auto"/>
        <w:bottom w:val="none" w:sz="0" w:space="0" w:color="auto"/>
        <w:right w:val="none" w:sz="0" w:space="0" w:color="auto"/>
      </w:divBdr>
    </w:div>
    <w:div w:id="1225751280">
      <w:bodyDiv w:val="1"/>
      <w:marLeft w:val="0"/>
      <w:marRight w:val="0"/>
      <w:marTop w:val="0"/>
      <w:marBottom w:val="0"/>
      <w:divBdr>
        <w:top w:val="none" w:sz="0" w:space="0" w:color="auto"/>
        <w:left w:val="none" w:sz="0" w:space="0" w:color="auto"/>
        <w:bottom w:val="none" w:sz="0" w:space="0" w:color="auto"/>
        <w:right w:val="none" w:sz="0" w:space="0" w:color="auto"/>
      </w:divBdr>
    </w:div>
    <w:div w:id="1234463356">
      <w:bodyDiv w:val="1"/>
      <w:marLeft w:val="0"/>
      <w:marRight w:val="0"/>
      <w:marTop w:val="0"/>
      <w:marBottom w:val="0"/>
      <w:divBdr>
        <w:top w:val="none" w:sz="0" w:space="0" w:color="auto"/>
        <w:left w:val="none" w:sz="0" w:space="0" w:color="auto"/>
        <w:bottom w:val="none" w:sz="0" w:space="0" w:color="auto"/>
        <w:right w:val="none" w:sz="0" w:space="0" w:color="auto"/>
      </w:divBdr>
    </w:div>
    <w:div w:id="1251547622">
      <w:bodyDiv w:val="1"/>
      <w:marLeft w:val="0"/>
      <w:marRight w:val="0"/>
      <w:marTop w:val="0"/>
      <w:marBottom w:val="0"/>
      <w:divBdr>
        <w:top w:val="none" w:sz="0" w:space="0" w:color="auto"/>
        <w:left w:val="none" w:sz="0" w:space="0" w:color="auto"/>
        <w:bottom w:val="none" w:sz="0" w:space="0" w:color="auto"/>
        <w:right w:val="none" w:sz="0" w:space="0" w:color="auto"/>
      </w:divBdr>
    </w:div>
    <w:div w:id="1264454753">
      <w:bodyDiv w:val="1"/>
      <w:marLeft w:val="0"/>
      <w:marRight w:val="0"/>
      <w:marTop w:val="0"/>
      <w:marBottom w:val="0"/>
      <w:divBdr>
        <w:top w:val="none" w:sz="0" w:space="0" w:color="auto"/>
        <w:left w:val="none" w:sz="0" w:space="0" w:color="auto"/>
        <w:bottom w:val="none" w:sz="0" w:space="0" w:color="auto"/>
        <w:right w:val="none" w:sz="0" w:space="0" w:color="auto"/>
      </w:divBdr>
    </w:div>
    <w:div w:id="1348478515">
      <w:bodyDiv w:val="1"/>
      <w:marLeft w:val="0"/>
      <w:marRight w:val="0"/>
      <w:marTop w:val="0"/>
      <w:marBottom w:val="0"/>
      <w:divBdr>
        <w:top w:val="none" w:sz="0" w:space="0" w:color="auto"/>
        <w:left w:val="none" w:sz="0" w:space="0" w:color="auto"/>
        <w:bottom w:val="none" w:sz="0" w:space="0" w:color="auto"/>
        <w:right w:val="none" w:sz="0" w:space="0" w:color="auto"/>
      </w:divBdr>
    </w:div>
    <w:div w:id="1371565807">
      <w:bodyDiv w:val="1"/>
      <w:marLeft w:val="0"/>
      <w:marRight w:val="0"/>
      <w:marTop w:val="0"/>
      <w:marBottom w:val="0"/>
      <w:divBdr>
        <w:top w:val="none" w:sz="0" w:space="0" w:color="auto"/>
        <w:left w:val="none" w:sz="0" w:space="0" w:color="auto"/>
        <w:bottom w:val="none" w:sz="0" w:space="0" w:color="auto"/>
        <w:right w:val="none" w:sz="0" w:space="0" w:color="auto"/>
      </w:divBdr>
    </w:div>
    <w:div w:id="1386759734">
      <w:bodyDiv w:val="1"/>
      <w:marLeft w:val="0"/>
      <w:marRight w:val="0"/>
      <w:marTop w:val="0"/>
      <w:marBottom w:val="0"/>
      <w:divBdr>
        <w:top w:val="none" w:sz="0" w:space="0" w:color="auto"/>
        <w:left w:val="none" w:sz="0" w:space="0" w:color="auto"/>
        <w:bottom w:val="none" w:sz="0" w:space="0" w:color="auto"/>
        <w:right w:val="none" w:sz="0" w:space="0" w:color="auto"/>
      </w:divBdr>
    </w:div>
    <w:div w:id="1407531309">
      <w:bodyDiv w:val="1"/>
      <w:marLeft w:val="0"/>
      <w:marRight w:val="0"/>
      <w:marTop w:val="0"/>
      <w:marBottom w:val="0"/>
      <w:divBdr>
        <w:top w:val="none" w:sz="0" w:space="0" w:color="auto"/>
        <w:left w:val="none" w:sz="0" w:space="0" w:color="auto"/>
        <w:bottom w:val="none" w:sz="0" w:space="0" w:color="auto"/>
        <w:right w:val="none" w:sz="0" w:space="0" w:color="auto"/>
      </w:divBdr>
    </w:div>
    <w:div w:id="1511215954">
      <w:bodyDiv w:val="1"/>
      <w:marLeft w:val="0"/>
      <w:marRight w:val="0"/>
      <w:marTop w:val="0"/>
      <w:marBottom w:val="0"/>
      <w:divBdr>
        <w:top w:val="none" w:sz="0" w:space="0" w:color="auto"/>
        <w:left w:val="none" w:sz="0" w:space="0" w:color="auto"/>
        <w:bottom w:val="none" w:sz="0" w:space="0" w:color="auto"/>
        <w:right w:val="none" w:sz="0" w:space="0" w:color="auto"/>
      </w:divBdr>
    </w:div>
    <w:div w:id="1522940001">
      <w:bodyDiv w:val="1"/>
      <w:marLeft w:val="0"/>
      <w:marRight w:val="0"/>
      <w:marTop w:val="0"/>
      <w:marBottom w:val="0"/>
      <w:divBdr>
        <w:top w:val="none" w:sz="0" w:space="0" w:color="auto"/>
        <w:left w:val="none" w:sz="0" w:space="0" w:color="auto"/>
        <w:bottom w:val="none" w:sz="0" w:space="0" w:color="auto"/>
        <w:right w:val="none" w:sz="0" w:space="0" w:color="auto"/>
      </w:divBdr>
    </w:div>
    <w:div w:id="1530726534">
      <w:bodyDiv w:val="1"/>
      <w:marLeft w:val="0"/>
      <w:marRight w:val="0"/>
      <w:marTop w:val="0"/>
      <w:marBottom w:val="0"/>
      <w:divBdr>
        <w:top w:val="none" w:sz="0" w:space="0" w:color="auto"/>
        <w:left w:val="none" w:sz="0" w:space="0" w:color="auto"/>
        <w:bottom w:val="none" w:sz="0" w:space="0" w:color="auto"/>
        <w:right w:val="none" w:sz="0" w:space="0" w:color="auto"/>
      </w:divBdr>
    </w:div>
    <w:div w:id="1595241767">
      <w:bodyDiv w:val="1"/>
      <w:marLeft w:val="0"/>
      <w:marRight w:val="0"/>
      <w:marTop w:val="0"/>
      <w:marBottom w:val="0"/>
      <w:divBdr>
        <w:top w:val="none" w:sz="0" w:space="0" w:color="auto"/>
        <w:left w:val="none" w:sz="0" w:space="0" w:color="auto"/>
        <w:bottom w:val="none" w:sz="0" w:space="0" w:color="auto"/>
        <w:right w:val="none" w:sz="0" w:space="0" w:color="auto"/>
      </w:divBdr>
    </w:div>
    <w:div w:id="1598782425">
      <w:bodyDiv w:val="1"/>
      <w:marLeft w:val="0"/>
      <w:marRight w:val="0"/>
      <w:marTop w:val="0"/>
      <w:marBottom w:val="0"/>
      <w:divBdr>
        <w:top w:val="none" w:sz="0" w:space="0" w:color="auto"/>
        <w:left w:val="none" w:sz="0" w:space="0" w:color="auto"/>
        <w:bottom w:val="none" w:sz="0" w:space="0" w:color="auto"/>
        <w:right w:val="none" w:sz="0" w:space="0" w:color="auto"/>
      </w:divBdr>
    </w:div>
    <w:div w:id="1600287054">
      <w:bodyDiv w:val="1"/>
      <w:marLeft w:val="0"/>
      <w:marRight w:val="0"/>
      <w:marTop w:val="0"/>
      <w:marBottom w:val="0"/>
      <w:divBdr>
        <w:top w:val="none" w:sz="0" w:space="0" w:color="auto"/>
        <w:left w:val="none" w:sz="0" w:space="0" w:color="auto"/>
        <w:bottom w:val="none" w:sz="0" w:space="0" w:color="auto"/>
        <w:right w:val="none" w:sz="0" w:space="0" w:color="auto"/>
      </w:divBdr>
    </w:div>
    <w:div w:id="1615791522">
      <w:bodyDiv w:val="1"/>
      <w:marLeft w:val="0"/>
      <w:marRight w:val="0"/>
      <w:marTop w:val="0"/>
      <w:marBottom w:val="0"/>
      <w:divBdr>
        <w:top w:val="none" w:sz="0" w:space="0" w:color="auto"/>
        <w:left w:val="none" w:sz="0" w:space="0" w:color="auto"/>
        <w:bottom w:val="none" w:sz="0" w:space="0" w:color="auto"/>
        <w:right w:val="none" w:sz="0" w:space="0" w:color="auto"/>
      </w:divBdr>
      <w:divsChild>
        <w:div w:id="1710570614">
          <w:marLeft w:val="360"/>
          <w:marRight w:val="0"/>
          <w:marTop w:val="200"/>
          <w:marBottom w:val="0"/>
          <w:divBdr>
            <w:top w:val="none" w:sz="0" w:space="0" w:color="auto"/>
            <w:left w:val="none" w:sz="0" w:space="0" w:color="auto"/>
            <w:bottom w:val="none" w:sz="0" w:space="0" w:color="auto"/>
            <w:right w:val="none" w:sz="0" w:space="0" w:color="auto"/>
          </w:divBdr>
        </w:div>
        <w:div w:id="1830444552">
          <w:marLeft w:val="360"/>
          <w:marRight w:val="0"/>
          <w:marTop w:val="200"/>
          <w:marBottom w:val="0"/>
          <w:divBdr>
            <w:top w:val="none" w:sz="0" w:space="0" w:color="auto"/>
            <w:left w:val="none" w:sz="0" w:space="0" w:color="auto"/>
            <w:bottom w:val="none" w:sz="0" w:space="0" w:color="auto"/>
            <w:right w:val="none" w:sz="0" w:space="0" w:color="auto"/>
          </w:divBdr>
        </w:div>
        <w:div w:id="1072852810">
          <w:marLeft w:val="360"/>
          <w:marRight w:val="0"/>
          <w:marTop w:val="200"/>
          <w:marBottom w:val="0"/>
          <w:divBdr>
            <w:top w:val="none" w:sz="0" w:space="0" w:color="auto"/>
            <w:left w:val="none" w:sz="0" w:space="0" w:color="auto"/>
            <w:bottom w:val="none" w:sz="0" w:space="0" w:color="auto"/>
            <w:right w:val="none" w:sz="0" w:space="0" w:color="auto"/>
          </w:divBdr>
        </w:div>
        <w:div w:id="1341348141">
          <w:marLeft w:val="360"/>
          <w:marRight w:val="0"/>
          <w:marTop w:val="200"/>
          <w:marBottom w:val="0"/>
          <w:divBdr>
            <w:top w:val="none" w:sz="0" w:space="0" w:color="auto"/>
            <w:left w:val="none" w:sz="0" w:space="0" w:color="auto"/>
            <w:bottom w:val="none" w:sz="0" w:space="0" w:color="auto"/>
            <w:right w:val="none" w:sz="0" w:space="0" w:color="auto"/>
          </w:divBdr>
        </w:div>
        <w:div w:id="774373542">
          <w:marLeft w:val="360"/>
          <w:marRight w:val="0"/>
          <w:marTop w:val="120"/>
          <w:marBottom w:val="120"/>
          <w:divBdr>
            <w:top w:val="none" w:sz="0" w:space="0" w:color="auto"/>
            <w:left w:val="none" w:sz="0" w:space="0" w:color="auto"/>
            <w:bottom w:val="none" w:sz="0" w:space="0" w:color="auto"/>
            <w:right w:val="none" w:sz="0" w:space="0" w:color="auto"/>
          </w:divBdr>
        </w:div>
      </w:divsChild>
    </w:div>
    <w:div w:id="1636446176">
      <w:bodyDiv w:val="1"/>
      <w:marLeft w:val="0"/>
      <w:marRight w:val="0"/>
      <w:marTop w:val="0"/>
      <w:marBottom w:val="0"/>
      <w:divBdr>
        <w:top w:val="none" w:sz="0" w:space="0" w:color="auto"/>
        <w:left w:val="none" w:sz="0" w:space="0" w:color="auto"/>
        <w:bottom w:val="none" w:sz="0" w:space="0" w:color="auto"/>
        <w:right w:val="none" w:sz="0" w:space="0" w:color="auto"/>
      </w:divBdr>
    </w:div>
    <w:div w:id="1659575754">
      <w:bodyDiv w:val="1"/>
      <w:marLeft w:val="0"/>
      <w:marRight w:val="0"/>
      <w:marTop w:val="0"/>
      <w:marBottom w:val="0"/>
      <w:divBdr>
        <w:top w:val="none" w:sz="0" w:space="0" w:color="auto"/>
        <w:left w:val="none" w:sz="0" w:space="0" w:color="auto"/>
        <w:bottom w:val="none" w:sz="0" w:space="0" w:color="auto"/>
        <w:right w:val="none" w:sz="0" w:space="0" w:color="auto"/>
      </w:divBdr>
    </w:div>
    <w:div w:id="1690452970">
      <w:bodyDiv w:val="1"/>
      <w:marLeft w:val="0"/>
      <w:marRight w:val="0"/>
      <w:marTop w:val="0"/>
      <w:marBottom w:val="0"/>
      <w:divBdr>
        <w:top w:val="none" w:sz="0" w:space="0" w:color="auto"/>
        <w:left w:val="none" w:sz="0" w:space="0" w:color="auto"/>
        <w:bottom w:val="none" w:sz="0" w:space="0" w:color="auto"/>
        <w:right w:val="none" w:sz="0" w:space="0" w:color="auto"/>
      </w:divBdr>
    </w:div>
    <w:div w:id="1701467775">
      <w:bodyDiv w:val="1"/>
      <w:marLeft w:val="0"/>
      <w:marRight w:val="0"/>
      <w:marTop w:val="0"/>
      <w:marBottom w:val="0"/>
      <w:divBdr>
        <w:top w:val="none" w:sz="0" w:space="0" w:color="auto"/>
        <w:left w:val="none" w:sz="0" w:space="0" w:color="auto"/>
        <w:bottom w:val="none" w:sz="0" w:space="0" w:color="auto"/>
        <w:right w:val="none" w:sz="0" w:space="0" w:color="auto"/>
      </w:divBdr>
    </w:div>
    <w:div w:id="1704480873">
      <w:bodyDiv w:val="1"/>
      <w:marLeft w:val="0"/>
      <w:marRight w:val="0"/>
      <w:marTop w:val="0"/>
      <w:marBottom w:val="0"/>
      <w:divBdr>
        <w:top w:val="none" w:sz="0" w:space="0" w:color="auto"/>
        <w:left w:val="none" w:sz="0" w:space="0" w:color="auto"/>
        <w:bottom w:val="none" w:sz="0" w:space="0" w:color="auto"/>
        <w:right w:val="none" w:sz="0" w:space="0" w:color="auto"/>
      </w:divBdr>
    </w:div>
    <w:div w:id="1714114466">
      <w:bodyDiv w:val="1"/>
      <w:marLeft w:val="0"/>
      <w:marRight w:val="0"/>
      <w:marTop w:val="0"/>
      <w:marBottom w:val="0"/>
      <w:divBdr>
        <w:top w:val="none" w:sz="0" w:space="0" w:color="auto"/>
        <w:left w:val="none" w:sz="0" w:space="0" w:color="auto"/>
        <w:bottom w:val="none" w:sz="0" w:space="0" w:color="auto"/>
        <w:right w:val="none" w:sz="0" w:space="0" w:color="auto"/>
      </w:divBdr>
    </w:div>
    <w:div w:id="1750231391">
      <w:bodyDiv w:val="1"/>
      <w:marLeft w:val="0"/>
      <w:marRight w:val="0"/>
      <w:marTop w:val="0"/>
      <w:marBottom w:val="0"/>
      <w:divBdr>
        <w:top w:val="none" w:sz="0" w:space="0" w:color="auto"/>
        <w:left w:val="none" w:sz="0" w:space="0" w:color="auto"/>
        <w:bottom w:val="none" w:sz="0" w:space="0" w:color="auto"/>
        <w:right w:val="none" w:sz="0" w:space="0" w:color="auto"/>
      </w:divBdr>
    </w:div>
    <w:div w:id="1750734238">
      <w:bodyDiv w:val="1"/>
      <w:marLeft w:val="0"/>
      <w:marRight w:val="0"/>
      <w:marTop w:val="0"/>
      <w:marBottom w:val="0"/>
      <w:divBdr>
        <w:top w:val="none" w:sz="0" w:space="0" w:color="auto"/>
        <w:left w:val="none" w:sz="0" w:space="0" w:color="auto"/>
        <w:bottom w:val="none" w:sz="0" w:space="0" w:color="auto"/>
        <w:right w:val="none" w:sz="0" w:space="0" w:color="auto"/>
      </w:divBdr>
    </w:div>
    <w:div w:id="1760637746">
      <w:bodyDiv w:val="1"/>
      <w:marLeft w:val="0"/>
      <w:marRight w:val="0"/>
      <w:marTop w:val="0"/>
      <w:marBottom w:val="0"/>
      <w:divBdr>
        <w:top w:val="none" w:sz="0" w:space="0" w:color="auto"/>
        <w:left w:val="none" w:sz="0" w:space="0" w:color="auto"/>
        <w:bottom w:val="none" w:sz="0" w:space="0" w:color="auto"/>
        <w:right w:val="none" w:sz="0" w:space="0" w:color="auto"/>
      </w:divBdr>
    </w:div>
    <w:div w:id="1767538259">
      <w:bodyDiv w:val="1"/>
      <w:marLeft w:val="0"/>
      <w:marRight w:val="0"/>
      <w:marTop w:val="0"/>
      <w:marBottom w:val="0"/>
      <w:divBdr>
        <w:top w:val="none" w:sz="0" w:space="0" w:color="auto"/>
        <w:left w:val="none" w:sz="0" w:space="0" w:color="auto"/>
        <w:bottom w:val="none" w:sz="0" w:space="0" w:color="auto"/>
        <w:right w:val="none" w:sz="0" w:space="0" w:color="auto"/>
      </w:divBdr>
    </w:div>
    <w:div w:id="1769503472">
      <w:bodyDiv w:val="1"/>
      <w:marLeft w:val="0"/>
      <w:marRight w:val="0"/>
      <w:marTop w:val="0"/>
      <w:marBottom w:val="0"/>
      <w:divBdr>
        <w:top w:val="none" w:sz="0" w:space="0" w:color="auto"/>
        <w:left w:val="none" w:sz="0" w:space="0" w:color="auto"/>
        <w:bottom w:val="none" w:sz="0" w:space="0" w:color="auto"/>
        <w:right w:val="none" w:sz="0" w:space="0" w:color="auto"/>
      </w:divBdr>
    </w:div>
    <w:div w:id="1792280846">
      <w:bodyDiv w:val="1"/>
      <w:marLeft w:val="0"/>
      <w:marRight w:val="0"/>
      <w:marTop w:val="0"/>
      <w:marBottom w:val="0"/>
      <w:divBdr>
        <w:top w:val="none" w:sz="0" w:space="0" w:color="auto"/>
        <w:left w:val="none" w:sz="0" w:space="0" w:color="auto"/>
        <w:bottom w:val="none" w:sz="0" w:space="0" w:color="auto"/>
        <w:right w:val="none" w:sz="0" w:space="0" w:color="auto"/>
      </w:divBdr>
    </w:div>
    <w:div w:id="1848013332">
      <w:bodyDiv w:val="1"/>
      <w:marLeft w:val="0"/>
      <w:marRight w:val="0"/>
      <w:marTop w:val="0"/>
      <w:marBottom w:val="0"/>
      <w:divBdr>
        <w:top w:val="none" w:sz="0" w:space="0" w:color="auto"/>
        <w:left w:val="none" w:sz="0" w:space="0" w:color="auto"/>
        <w:bottom w:val="none" w:sz="0" w:space="0" w:color="auto"/>
        <w:right w:val="none" w:sz="0" w:space="0" w:color="auto"/>
      </w:divBdr>
    </w:div>
    <w:div w:id="1881238705">
      <w:bodyDiv w:val="1"/>
      <w:marLeft w:val="0"/>
      <w:marRight w:val="0"/>
      <w:marTop w:val="0"/>
      <w:marBottom w:val="0"/>
      <w:divBdr>
        <w:top w:val="none" w:sz="0" w:space="0" w:color="auto"/>
        <w:left w:val="none" w:sz="0" w:space="0" w:color="auto"/>
        <w:bottom w:val="none" w:sz="0" w:space="0" w:color="auto"/>
        <w:right w:val="none" w:sz="0" w:space="0" w:color="auto"/>
      </w:divBdr>
    </w:div>
    <w:div w:id="1903521303">
      <w:bodyDiv w:val="1"/>
      <w:marLeft w:val="0"/>
      <w:marRight w:val="0"/>
      <w:marTop w:val="0"/>
      <w:marBottom w:val="0"/>
      <w:divBdr>
        <w:top w:val="none" w:sz="0" w:space="0" w:color="auto"/>
        <w:left w:val="none" w:sz="0" w:space="0" w:color="auto"/>
        <w:bottom w:val="none" w:sz="0" w:space="0" w:color="auto"/>
        <w:right w:val="none" w:sz="0" w:space="0" w:color="auto"/>
      </w:divBdr>
    </w:div>
    <w:div w:id="1932157707">
      <w:bodyDiv w:val="1"/>
      <w:marLeft w:val="0"/>
      <w:marRight w:val="0"/>
      <w:marTop w:val="0"/>
      <w:marBottom w:val="0"/>
      <w:divBdr>
        <w:top w:val="none" w:sz="0" w:space="0" w:color="auto"/>
        <w:left w:val="none" w:sz="0" w:space="0" w:color="auto"/>
        <w:bottom w:val="none" w:sz="0" w:space="0" w:color="auto"/>
        <w:right w:val="none" w:sz="0" w:space="0" w:color="auto"/>
      </w:divBdr>
    </w:div>
    <w:div w:id="1947034228">
      <w:bodyDiv w:val="1"/>
      <w:marLeft w:val="0"/>
      <w:marRight w:val="0"/>
      <w:marTop w:val="0"/>
      <w:marBottom w:val="0"/>
      <w:divBdr>
        <w:top w:val="none" w:sz="0" w:space="0" w:color="auto"/>
        <w:left w:val="none" w:sz="0" w:space="0" w:color="auto"/>
        <w:bottom w:val="none" w:sz="0" w:space="0" w:color="auto"/>
        <w:right w:val="none" w:sz="0" w:space="0" w:color="auto"/>
      </w:divBdr>
    </w:div>
    <w:div w:id="1979414551">
      <w:bodyDiv w:val="1"/>
      <w:marLeft w:val="0"/>
      <w:marRight w:val="0"/>
      <w:marTop w:val="0"/>
      <w:marBottom w:val="0"/>
      <w:divBdr>
        <w:top w:val="none" w:sz="0" w:space="0" w:color="auto"/>
        <w:left w:val="none" w:sz="0" w:space="0" w:color="auto"/>
        <w:bottom w:val="none" w:sz="0" w:space="0" w:color="auto"/>
        <w:right w:val="none" w:sz="0" w:space="0" w:color="auto"/>
      </w:divBdr>
      <w:divsChild>
        <w:div w:id="1315060088">
          <w:marLeft w:val="547"/>
          <w:marRight w:val="0"/>
          <w:marTop w:val="115"/>
          <w:marBottom w:val="0"/>
          <w:divBdr>
            <w:top w:val="none" w:sz="0" w:space="0" w:color="auto"/>
            <w:left w:val="none" w:sz="0" w:space="0" w:color="auto"/>
            <w:bottom w:val="none" w:sz="0" w:space="0" w:color="auto"/>
            <w:right w:val="none" w:sz="0" w:space="0" w:color="auto"/>
          </w:divBdr>
        </w:div>
        <w:div w:id="1003125342">
          <w:marLeft w:val="547"/>
          <w:marRight w:val="0"/>
          <w:marTop w:val="115"/>
          <w:marBottom w:val="0"/>
          <w:divBdr>
            <w:top w:val="none" w:sz="0" w:space="0" w:color="auto"/>
            <w:left w:val="none" w:sz="0" w:space="0" w:color="auto"/>
            <w:bottom w:val="none" w:sz="0" w:space="0" w:color="auto"/>
            <w:right w:val="none" w:sz="0" w:space="0" w:color="auto"/>
          </w:divBdr>
        </w:div>
        <w:div w:id="1814516944">
          <w:marLeft w:val="1166"/>
          <w:marRight w:val="0"/>
          <w:marTop w:val="96"/>
          <w:marBottom w:val="0"/>
          <w:divBdr>
            <w:top w:val="none" w:sz="0" w:space="0" w:color="auto"/>
            <w:left w:val="none" w:sz="0" w:space="0" w:color="auto"/>
            <w:bottom w:val="none" w:sz="0" w:space="0" w:color="auto"/>
            <w:right w:val="none" w:sz="0" w:space="0" w:color="auto"/>
          </w:divBdr>
        </w:div>
        <w:div w:id="510726291">
          <w:marLeft w:val="1166"/>
          <w:marRight w:val="0"/>
          <w:marTop w:val="96"/>
          <w:marBottom w:val="0"/>
          <w:divBdr>
            <w:top w:val="none" w:sz="0" w:space="0" w:color="auto"/>
            <w:left w:val="none" w:sz="0" w:space="0" w:color="auto"/>
            <w:bottom w:val="none" w:sz="0" w:space="0" w:color="auto"/>
            <w:right w:val="none" w:sz="0" w:space="0" w:color="auto"/>
          </w:divBdr>
        </w:div>
        <w:div w:id="1492022457">
          <w:marLeft w:val="1166"/>
          <w:marRight w:val="0"/>
          <w:marTop w:val="96"/>
          <w:marBottom w:val="0"/>
          <w:divBdr>
            <w:top w:val="none" w:sz="0" w:space="0" w:color="auto"/>
            <w:left w:val="none" w:sz="0" w:space="0" w:color="auto"/>
            <w:bottom w:val="none" w:sz="0" w:space="0" w:color="auto"/>
            <w:right w:val="none" w:sz="0" w:space="0" w:color="auto"/>
          </w:divBdr>
        </w:div>
        <w:div w:id="1343976127">
          <w:marLeft w:val="1166"/>
          <w:marRight w:val="0"/>
          <w:marTop w:val="96"/>
          <w:marBottom w:val="0"/>
          <w:divBdr>
            <w:top w:val="none" w:sz="0" w:space="0" w:color="auto"/>
            <w:left w:val="none" w:sz="0" w:space="0" w:color="auto"/>
            <w:bottom w:val="none" w:sz="0" w:space="0" w:color="auto"/>
            <w:right w:val="none" w:sz="0" w:space="0" w:color="auto"/>
          </w:divBdr>
        </w:div>
        <w:div w:id="108134720">
          <w:marLeft w:val="1166"/>
          <w:marRight w:val="0"/>
          <w:marTop w:val="96"/>
          <w:marBottom w:val="0"/>
          <w:divBdr>
            <w:top w:val="none" w:sz="0" w:space="0" w:color="auto"/>
            <w:left w:val="none" w:sz="0" w:space="0" w:color="auto"/>
            <w:bottom w:val="none" w:sz="0" w:space="0" w:color="auto"/>
            <w:right w:val="none" w:sz="0" w:space="0" w:color="auto"/>
          </w:divBdr>
        </w:div>
      </w:divsChild>
    </w:div>
    <w:div w:id="1980844169">
      <w:bodyDiv w:val="1"/>
      <w:marLeft w:val="0"/>
      <w:marRight w:val="0"/>
      <w:marTop w:val="0"/>
      <w:marBottom w:val="0"/>
      <w:divBdr>
        <w:top w:val="none" w:sz="0" w:space="0" w:color="auto"/>
        <w:left w:val="none" w:sz="0" w:space="0" w:color="auto"/>
        <w:bottom w:val="none" w:sz="0" w:space="0" w:color="auto"/>
        <w:right w:val="none" w:sz="0" w:space="0" w:color="auto"/>
      </w:divBdr>
    </w:div>
    <w:div w:id="2008744547">
      <w:bodyDiv w:val="1"/>
      <w:marLeft w:val="0"/>
      <w:marRight w:val="0"/>
      <w:marTop w:val="0"/>
      <w:marBottom w:val="0"/>
      <w:divBdr>
        <w:top w:val="none" w:sz="0" w:space="0" w:color="auto"/>
        <w:left w:val="none" w:sz="0" w:space="0" w:color="auto"/>
        <w:bottom w:val="none" w:sz="0" w:space="0" w:color="auto"/>
        <w:right w:val="none" w:sz="0" w:space="0" w:color="auto"/>
      </w:divBdr>
    </w:div>
    <w:div w:id="2041935269">
      <w:bodyDiv w:val="1"/>
      <w:marLeft w:val="0"/>
      <w:marRight w:val="0"/>
      <w:marTop w:val="0"/>
      <w:marBottom w:val="0"/>
      <w:divBdr>
        <w:top w:val="none" w:sz="0" w:space="0" w:color="auto"/>
        <w:left w:val="none" w:sz="0" w:space="0" w:color="auto"/>
        <w:bottom w:val="none" w:sz="0" w:space="0" w:color="auto"/>
        <w:right w:val="none" w:sz="0" w:space="0" w:color="auto"/>
      </w:divBdr>
    </w:div>
    <w:div w:id="2043165939">
      <w:bodyDiv w:val="1"/>
      <w:marLeft w:val="0"/>
      <w:marRight w:val="0"/>
      <w:marTop w:val="0"/>
      <w:marBottom w:val="0"/>
      <w:divBdr>
        <w:top w:val="none" w:sz="0" w:space="0" w:color="auto"/>
        <w:left w:val="none" w:sz="0" w:space="0" w:color="auto"/>
        <w:bottom w:val="none" w:sz="0" w:space="0" w:color="auto"/>
        <w:right w:val="none" w:sz="0" w:space="0" w:color="auto"/>
      </w:divBdr>
    </w:div>
    <w:div w:id="2065448261">
      <w:bodyDiv w:val="1"/>
      <w:marLeft w:val="0"/>
      <w:marRight w:val="0"/>
      <w:marTop w:val="0"/>
      <w:marBottom w:val="0"/>
      <w:divBdr>
        <w:top w:val="none" w:sz="0" w:space="0" w:color="auto"/>
        <w:left w:val="none" w:sz="0" w:space="0" w:color="auto"/>
        <w:bottom w:val="none" w:sz="0" w:space="0" w:color="auto"/>
        <w:right w:val="none" w:sz="0" w:space="0" w:color="auto"/>
      </w:divBdr>
      <w:divsChild>
        <w:div w:id="483205704">
          <w:marLeft w:val="547"/>
          <w:marRight w:val="0"/>
          <w:marTop w:val="115"/>
          <w:marBottom w:val="0"/>
          <w:divBdr>
            <w:top w:val="none" w:sz="0" w:space="0" w:color="auto"/>
            <w:left w:val="none" w:sz="0" w:space="0" w:color="auto"/>
            <w:bottom w:val="none" w:sz="0" w:space="0" w:color="auto"/>
            <w:right w:val="none" w:sz="0" w:space="0" w:color="auto"/>
          </w:divBdr>
        </w:div>
        <w:div w:id="1120298107">
          <w:marLeft w:val="547"/>
          <w:marRight w:val="0"/>
          <w:marTop w:val="115"/>
          <w:marBottom w:val="0"/>
          <w:divBdr>
            <w:top w:val="none" w:sz="0" w:space="0" w:color="auto"/>
            <w:left w:val="none" w:sz="0" w:space="0" w:color="auto"/>
            <w:bottom w:val="none" w:sz="0" w:space="0" w:color="auto"/>
            <w:right w:val="none" w:sz="0" w:space="0" w:color="auto"/>
          </w:divBdr>
        </w:div>
      </w:divsChild>
    </w:div>
    <w:div w:id="2082940579">
      <w:bodyDiv w:val="1"/>
      <w:marLeft w:val="0"/>
      <w:marRight w:val="0"/>
      <w:marTop w:val="0"/>
      <w:marBottom w:val="0"/>
      <w:divBdr>
        <w:top w:val="none" w:sz="0" w:space="0" w:color="auto"/>
        <w:left w:val="none" w:sz="0" w:space="0" w:color="auto"/>
        <w:bottom w:val="none" w:sz="0" w:space="0" w:color="auto"/>
        <w:right w:val="none" w:sz="0" w:space="0" w:color="auto"/>
      </w:divBdr>
      <w:divsChild>
        <w:div w:id="350226911">
          <w:marLeft w:val="360"/>
          <w:marRight w:val="0"/>
          <w:marTop w:val="200"/>
          <w:marBottom w:val="0"/>
          <w:divBdr>
            <w:top w:val="none" w:sz="0" w:space="0" w:color="auto"/>
            <w:left w:val="none" w:sz="0" w:space="0" w:color="auto"/>
            <w:bottom w:val="none" w:sz="0" w:space="0" w:color="auto"/>
            <w:right w:val="none" w:sz="0" w:space="0" w:color="auto"/>
          </w:divBdr>
        </w:div>
        <w:div w:id="1626426906">
          <w:marLeft w:val="1080"/>
          <w:marRight w:val="0"/>
          <w:marTop w:val="100"/>
          <w:marBottom w:val="0"/>
          <w:divBdr>
            <w:top w:val="none" w:sz="0" w:space="0" w:color="auto"/>
            <w:left w:val="none" w:sz="0" w:space="0" w:color="auto"/>
            <w:bottom w:val="none" w:sz="0" w:space="0" w:color="auto"/>
            <w:right w:val="none" w:sz="0" w:space="0" w:color="auto"/>
          </w:divBdr>
        </w:div>
        <w:div w:id="1532299735">
          <w:marLeft w:val="1080"/>
          <w:marRight w:val="0"/>
          <w:marTop w:val="100"/>
          <w:marBottom w:val="0"/>
          <w:divBdr>
            <w:top w:val="none" w:sz="0" w:space="0" w:color="auto"/>
            <w:left w:val="none" w:sz="0" w:space="0" w:color="auto"/>
            <w:bottom w:val="none" w:sz="0" w:space="0" w:color="auto"/>
            <w:right w:val="none" w:sz="0" w:space="0" w:color="auto"/>
          </w:divBdr>
        </w:div>
      </w:divsChild>
    </w:div>
    <w:div w:id="2112969395">
      <w:bodyDiv w:val="1"/>
      <w:marLeft w:val="0"/>
      <w:marRight w:val="0"/>
      <w:marTop w:val="0"/>
      <w:marBottom w:val="0"/>
      <w:divBdr>
        <w:top w:val="none" w:sz="0" w:space="0" w:color="auto"/>
        <w:left w:val="none" w:sz="0" w:space="0" w:color="auto"/>
        <w:bottom w:val="none" w:sz="0" w:space="0" w:color="auto"/>
        <w:right w:val="none" w:sz="0" w:space="0" w:color="auto"/>
      </w:divBdr>
    </w:div>
    <w:div w:id="2144494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99AA2010-D263-4C7D-9823-F04FEE52C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12</Pages>
  <Words>3960</Words>
  <Characters>23365</Characters>
  <Application>Microsoft Office Word</Application>
  <DocSecurity>0</DocSecurity>
  <Lines>194</Lines>
  <Paragraphs>54</Paragraphs>
  <ScaleCrop>false</ScaleCrop>
  <HeadingPairs>
    <vt:vector size="2" baseType="variant">
      <vt:variant>
        <vt:lpstr>Název</vt:lpstr>
      </vt:variant>
      <vt:variant>
        <vt:i4>1</vt:i4>
      </vt:variant>
    </vt:vector>
  </HeadingPairs>
  <TitlesOfParts>
    <vt:vector size="1" baseType="lpstr">
      <vt:lpstr>Důvodová zpráva:</vt:lpstr>
    </vt:vector>
  </TitlesOfParts>
  <Company>KÚOK</Company>
  <LinksUpToDate>false</LinksUpToDate>
  <CharactersWithSpaces>27271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creator>Gajdošová Kateřina</dc:creator>
  <cp:lastModifiedBy>Hemžská Petra</cp:lastModifiedBy>
  <cp:revision>8</cp:revision>
  <cp:lastPrinted>2023-05-22T06:18:00Z</cp:lastPrinted>
  <dcterms:created xsi:type="dcterms:W3CDTF">2025-05-29T06:29:00Z</dcterms:created>
  <dcterms:modified xsi:type="dcterms:W3CDTF">2025-06-06T08:58:00Z</dcterms:modified>
</cp:coreProperties>
</file>