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514C" w14:textId="77777777" w:rsidR="00FD0526" w:rsidRPr="00B9607F" w:rsidRDefault="003F6C81" w:rsidP="00467326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bookmarkStart w:id="0" w:name="_GoBack"/>
      <w:bookmarkEnd w:id="0"/>
      <w:r w:rsidRPr="00B960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B9607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</w:p>
    <w:p w14:paraId="2F9EADD9" w14:textId="77777777" w:rsidR="00FD0526" w:rsidRPr="00B9607F" w:rsidRDefault="00FD0526" w:rsidP="0046732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 PODPORA AKTIVIT SMĚŘUJÍCÍCH K SOCIALNÍMU ZAČLEŇOVÁNÍ</w:t>
      </w:r>
    </w:p>
    <w:p w14:paraId="044EB188" w14:textId="77777777" w:rsidR="003F6C81" w:rsidRPr="00B9607F" w:rsidRDefault="003F6C81" w:rsidP="00467326">
      <w:pPr>
        <w:spacing w:before="120"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9FD5CA3" w14:textId="77777777" w:rsidR="003F6C81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B9607F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7D7B5D3" w14:textId="77777777" w:rsidR="003F6C81" w:rsidRPr="00B9607F" w:rsidRDefault="003F6C81" w:rsidP="003F6C8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4E96064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823BF03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2E639209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E622BC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3CF5A5D" w14:textId="724A31BC" w:rsidR="007406E8" w:rsidRPr="00B9607F" w:rsidRDefault="003C6345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Mgr. Yvonou Kubjátovou, náměstkyní hejtmana</w:t>
      </w:r>
    </w:p>
    <w:p w14:paraId="24CA9A59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9607F">
        <w:rPr>
          <w:rFonts w:ascii="Arial" w:hAnsi="Arial" w:cs="Arial"/>
          <w:sz w:val="24"/>
          <w:szCs w:val="24"/>
        </w:rPr>
        <w:t>Komerční banka, a.s., pobočka Olomouc</w:t>
      </w:r>
    </w:p>
    <w:p w14:paraId="0B9005C7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Č.ú.: 27 – 4228330207/0100</w:t>
      </w:r>
    </w:p>
    <w:p w14:paraId="2F3A54AC" w14:textId="77777777" w:rsidR="007406E8" w:rsidRPr="00B9607F" w:rsidRDefault="007406E8" w:rsidP="007406E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BCF18DB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F9899D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A210FD9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</w:p>
    <w:p w14:paraId="2169BA13" w14:textId="51F3BD34" w:rsidR="007406E8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jméno/</w:t>
      </w:r>
      <w:r w:rsidR="007406E8" w:rsidRPr="00B9607F">
        <w:rPr>
          <w:rFonts w:ascii="Arial" w:hAnsi="Arial" w:cs="Arial"/>
          <w:sz w:val="24"/>
          <w:szCs w:val="24"/>
        </w:rPr>
        <w:t>název</w:t>
      </w:r>
    </w:p>
    <w:p w14:paraId="701424E5" w14:textId="071529DD" w:rsidR="007406E8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bydliště/</w:t>
      </w:r>
      <w:r w:rsidR="007406E8" w:rsidRPr="00B9607F">
        <w:rPr>
          <w:rFonts w:ascii="Arial" w:hAnsi="Arial" w:cs="Arial"/>
          <w:sz w:val="24"/>
          <w:szCs w:val="24"/>
        </w:rPr>
        <w:t>sídlo</w:t>
      </w:r>
    </w:p>
    <w:p w14:paraId="52419593" w14:textId="391416D9" w:rsidR="00924D5F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datum narození</w:t>
      </w:r>
    </w:p>
    <w:p w14:paraId="4FD855A8" w14:textId="77777777" w:rsidR="007406E8" w:rsidRPr="00B9607F" w:rsidRDefault="007406E8" w:rsidP="007406E8">
      <w:pPr>
        <w:spacing w:after="100"/>
        <w:rPr>
          <w:rStyle w:val="nowrap"/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IČ: </w:t>
      </w:r>
    </w:p>
    <w:p w14:paraId="395B0099" w14:textId="77777777" w:rsidR="007406E8" w:rsidRPr="00B9607F" w:rsidRDefault="007406E8" w:rsidP="007406E8">
      <w:pPr>
        <w:spacing w:after="100"/>
        <w:rPr>
          <w:rFonts w:ascii="Arial" w:hAnsi="Arial" w:cs="Arial"/>
          <w:bCs/>
          <w:sz w:val="24"/>
          <w:szCs w:val="24"/>
        </w:rPr>
      </w:pPr>
      <w:r w:rsidRPr="00B9607F">
        <w:rPr>
          <w:rStyle w:val="nowrap"/>
          <w:rFonts w:ascii="Arial" w:hAnsi="Arial" w:cs="Arial"/>
          <w:sz w:val="24"/>
          <w:szCs w:val="24"/>
        </w:rPr>
        <w:t>DIČ:</w:t>
      </w:r>
    </w:p>
    <w:p w14:paraId="7332BD01" w14:textId="77777777" w:rsidR="007406E8" w:rsidRPr="00B9607F" w:rsidRDefault="007406E8" w:rsidP="007406E8">
      <w:p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Rejstřík: </w:t>
      </w:r>
    </w:p>
    <w:p w14:paraId="7C89BDE1" w14:textId="77777777" w:rsidR="007406E8" w:rsidRPr="00B9607F" w:rsidRDefault="007406E8" w:rsidP="007406E8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Zastoupen: </w:t>
      </w:r>
    </w:p>
    <w:p w14:paraId="4B465DF1" w14:textId="77777777" w:rsidR="007406E8" w:rsidRPr="00B9607F" w:rsidRDefault="007406E8" w:rsidP="007406E8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658ED478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Č.ú.: </w:t>
      </w:r>
    </w:p>
    <w:p w14:paraId="3379EB57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A728813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DB0157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ACF488A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D1E991E" w14:textId="77777777" w:rsidR="003F6C81" w:rsidRPr="00B9607F" w:rsidRDefault="003F6C81" w:rsidP="003F6C8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9E4FC93" w14:textId="46D201B1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podpory projektu </w:t>
      </w:r>
      <w:r w:rsidR="007406E8" w:rsidRPr="00B9607F">
        <w:rPr>
          <w:rFonts w:ascii="Arial" w:hAnsi="Arial" w:cs="Arial"/>
          <w:sz w:val="24"/>
        </w:rPr>
        <w:t xml:space="preserve">směřujícího k sociálnímu začleňování osob ohrožených sociálním vyloučením na území Olomouckého kraje, dle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Podpora aktivit směřujících k sociálnímu začleňování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(dle vyhlášeného dotačního programu/titulu)</w:t>
      </w:r>
      <w:r w:rsidR="00B04B70" w:rsidRPr="00B9607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BA63BA" w14:textId="77777777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1990A59F" w14:textId="6FC0CB13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3077E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D2E9070" w14:textId="7449DC82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7709874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5956E4A" w14:textId="77777777" w:rsidR="003F6C81" w:rsidRPr="00B9607F" w:rsidRDefault="003F6C81" w:rsidP="00A14B53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20B4BFB0" w14:textId="77777777" w:rsidR="003F6C81" w:rsidRPr="00B9607F" w:rsidRDefault="003F6C81" w:rsidP="00A14B53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512A7C42" w14:textId="77777777" w:rsidR="003F6C81" w:rsidRPr="00B9607F" w:rsidRDefault="003F6C81" w:rsidP="00953998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EDC817" w14:textId="523B91BC" w:rsidR="003F6C81" w:rsidRPr="00B9607F" w:rsidRDefault="0033077E" w:rsidP="00953998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E220B92" w14:textId="77777777" w:rsidR="003F6C81" w:rsidRPr="00B9607F" w:rsidRDefault="003F6C81" w:rsidP="00953998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B22CB7D" w14:textId="424A8757" w:rsidR="003F6C81" w:rsidRPr="00B9607F" w:rsidRDefault="003F6C81" w:rsidP="00A14B53">
      <w:pPr>
        <w:numPr>
          <w:ilvl w:val="0"/>
          <w:numId w:val="2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="00B04B70" w:rsidRPr="00B9607F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70E5402A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25DB8F95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povinen snížit výši dosud čerpané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14:paraId="73201893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315BAA40" w14:textId="638CAF9C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102FE1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249F33FD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14:paraId="166818B5" w14:textId="77777777" w:rsidR="0046229A" w:rsidRPr="00102FE1" w:rsidRDefault="0046229A" w:rsidP="0046229A">
      <w:pPr>
        <w:pStyle w:val="Smlouva-slovn2"/>
        <w:ind w:left="567" w:firstLine="0"/>
        <w:rPr>
          <w:sz w:val="24"/>
          <w:szCs w:val="24"/>
        </w:rPr>
      </w:pPr>
      <w:r w:rsidRPr="00102FE1">
        <w:rPr>
          <w:sz w:val="24"/>
          <w:szCs w:val="24"/>
        </w:rPr>
        <w:t xml:space="preserve">Dotaci lze použít na úhradu výdaje, který byl příjemcem uhrazen v období od </w:t>
      </w:r>
      <w:r w:rsidRPr="00102FE1">
        <w:rPr>
          <w:sz w:val="24"/>
          <w:szCs w:val="24"/>
        </w:rPr>
        <w:br/>
        <w:t xml:space="preserve">1. 1. 2016 do 31. 12. 2016, přičemž úhrada osobních nákladů (mzdové náklady </w:t>
      </w:r>
      <w:r w:rsidRPr="00102FE1">
        <w:rPr>
          <w:sz w:val="24"/>
          <w:szCs w:val="24"/>
        </w:rPr>
        <w:br/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0A9A497B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2308E92D" w14:textId="4C64BAF0" w:rsidR="00B04B70" w:rsidRPr="00B9607F" w:rsidRDefault="00B04B70" w:rsidP="00B04B70">
      <w:pPr>
        <w:ind w:hanging="720"/>
        <w:rPr>
          <w:rFonts w:ascii="Arial" w:hAnsi="Arial" w:cs="Arial"/>
          <w:bCs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Příjemce nesmí dotaci použít zejména na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CCF5F" w14:textId="27E6201E" w:rsidR="00B04B70" w:rsidRPr="00B9607F" w:rsidRDefault="00B04B70" w:rsidP="00A14B53">
      <w:pPr>
        <w:pStyle w:val="Odstavecseseznamem"/>
        <w:numPr>
          <w:ilvl w:val="0"/>
          <w:numId w:val="29"/>
        </w:numPr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 daní, daňových odpisů, poplatků a odvodů,</w:t>
      </w:r>
    </w:p>
    <w:p w14:paraId="35FC5ABC" w14:textId="39FDA6E0" w:rsidR="00B04B70" w:rsidRPr="00B9607F" w:rsidRDefault="00BB7B77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</w:t>
      </w:r>
      <w:r w:rsidR="00B04B70" w:rsidRPr="00B9607F">
        <w:rPr>
          <w:rFonts w:ascii="Arial" w:hAnsi="Arial" w:cs="Arial"/>
          <w:bCs/>
          <w:sz w:val="24"/>
        </w:rPr>
        <w:t xml:space="preserve"> úvěrů a půjček,</w:t>
      </w:r>
    </w:p>
    <w:p w14:paraId="2D31B571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věcí osobní potřeby,</w:t>
      </w:r>
    </w:p>
    <w:p w14:paraId="670A6D0A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penále, pokuty, </w:t>
      </w:r>
    </w:p>
    <w:p w14:paraId="1606134B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pojistné, </w:t>
      </w:r>
    </w:p>
    <w:p w14:paraId="021EE4FD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leasing,</w:t>
      </w:r>
    </w:p>
    <w:p w14:paraId="76436EFC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darů – mimo ceny do soutěží,</w:t>
      </w:r>
    </w:p>
    <w:p w14:paraId="1405B8C8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3A8E852F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08981C37" w14:textId="77777777" w:rsidR="00B04B70" w:rsidRPr="00B9607F" w:rsidRDefault="00B04B70" w:rsidP="00B04B70">
      <w:pPr>
        <w:ind w:left="1210" w:hanging="36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608AA78C" w14:textId="541A7B13" w:rsidR="00B04B70" w:rsidRPr="001514F1" w:rsidRDefault="00B04B70" w:rsidP="001514F1">
      <w:pPr>
        <w:pStyle w:val="Odstavecseseznamem"/>
        <w:numPr>
          <w:ilvl w:val="0"/>
          <w:numId w:val="29"/>
        </w:numPr>
        <w:spacing w:before="120" w:after="120"/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44BBF57C" w14:textId="77777777" w:rsidR="003F6C81" w:rsidRPr="00B9607F" w:rsidRDefault="003F6C81" w:rsidP="001514F1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9C55DE6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23B0482D" w14:textId="3B9B28BB" w:rsidR="003F6C81" w:rsidRPr="00B9607F" w:rsidRDefault="003F6C81" w:rsidP="00A14B53">
      <w:pPr>
        <w:numPr>
          <w:ilvl w:val="0"/>
          <w:numId w:val="2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31. 12. 2016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B05521D" w14:textId="4E451EF8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užití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="00BB7B77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C678214" w14:textId="0D470A1E" w:rsidR="0046229A" w:rsidRPr="00102FE1" w:rsidRDefault="003F6C81" w:rsidP="0046229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62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</w:t>
      </w:r>
      <w:r w:rsidRPr="00102FE1">
        <w:rPr>
          <w:rFonts w:ascii="Arial" w:eastAsia="Times New Roman" w:hAnsi="Arial" w:cs="Arial"/>
          <w:sz w:val="24"/>
          <w:szCs w:val="24"/>
          <w:lang w:eastAsia="cs-CZ"/>
        </w:rPr>
        <w:t xml:space="preserve">povinen na tento účel vynaložit vždy </w:t>
      </w:r>
      <w:r w:rsidR="00033D95" w:rsidRPr="00102FE1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102FE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V případě, že </w:t>
      </w:r>
      <w:r w:rsidR="006024A4" w:rsidRPr="00102FE1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skutečné náklady vynaložené </w:t>
      </w:r>
      <w:r w:rsidRPr="00102FE1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smlouvy budou nižší než celkové předpokládané náklady, </w:t>
      </w:r>
      <w:r w:rsidR="0046229A" w:rsidRPr="00102FE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vzniklý rozdíl v rámci vyúčtování dotace vrátit poskytovateli v souladu s ust. čl. II odst. 2 tak, aby výše dotace </w:t>
      </w:r>
      <w:r w:rsidRPr="00102FE1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033D95" w:rsidRPr="00102FE1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="00BB7B77" w:rsidRPr="00102F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2FE1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6024A4" w:rsidRPr="00102FE1">
        <w:rPr>
          <w:rFonts w:ascii="Arial" w:eastAsia="Times New Roman" w:hAnsi="Arial" w:cs="Arial"/>
          <w:sz w:val="24"/>
          <w:szCs w:val="24"/>
          <w:lang w:eastAsia="cs-CZ"/>
        </w:rPr>
        <w:t>z celkových skutečných nákladů vynaložených</w:t>
      </w:r>
      <w:r w:rsidRPr="00102FE1">
        <w:rPr>
          <w:rFonts w:ascii="Arial" w:eastAsia="Times New Roman" w:hAnsi="Arial" w:cs="Arial"/>
          <w:sz w:val="24"/>
          <w:szCs w:val="24"/>
          <w:lang w:eastAsia="cs-CZ"/>
        </w:rPr>
        <w:t xml:space="preserve"> na účel dle čl. I. odst. 2 a 4 této smlouvy. </w:t>
      </w:r>
      <w:r w:rsidR="0046229A" w:rsidRPr="00102FE1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 na účel, na nějž se poskytuje dotace dle této smlouvy.</w:t>
      </w:r>
    </w:p>
    <w:p w14:paraId="1B9D9AE4" w14:textId="77777777" w:rsidR="003F6C81" w:rsidRPr="00B9607F" w:rsidRDefault="003F6C81" w:rsidP="00A14B53">
      <w:pPr>
        <w:numPr>
          <w:ilvl w:val="0"/>
          <w:numId w:val="2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172122F" w14:textId="78EF65E4" w:rsidR="00CC2436" w:rsidRPr="00B9607F" w:rsidRDefault="003F6C81" w:rsidP="003F6C81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C2436"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7D3C8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CC2436" w:rsidRPr="00B9607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D3C8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436" w:rsidRPr="00B9607F">
        <w:rPr>
          <w:rFonts w:ascii="Arial" w:eastAsia="Times New Roman" w:hAnsi="Arial" w:cs="Arial"/>
          <w:sz w:val="24"/>
          <w:szCs w:val="24"/>
          <w:lang w:eastAsia="cs-CZ"/>
        </w:rPr>
        <w:t>2017 předložit poskytovateli vyúčtování poskytnuté dotace (dále jen vyúč</w:t>
      </w:r>
      <w:r w:rsidR="000C0F3A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CC2436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ování). </w:t>
      </w:r>
    </w:p>
    <w:p w14:paraId="5F7D5244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5C9DC55" w14:textId="45EEE1CE" w:rsidR="003F6C81" w:rsidRPr="00102FE1" w:rsidRDefault="003F6C81" w:rsidP="003F6C81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="000553FA" w:rsidRPr="00B960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BB278F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Příloha č. 1</w:t>
      </w:r>
      <w:r w:rsidR="00BB7B77"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pro příjemce k dispozici v elektronické formě na webu OK </w:t>
      </w:r>
      <w:r w:rsidR="0046229A" w:rsidRPr="00102FE1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102FE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C169CB9" w14:textId="77777777" w:rsidR="003F6C81" w:rsidRPr="00B9607F" w:rsidRDefault="003F6C81" w:rsidP="003F6C81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5A8711A3" w14:textId="3BF0D302" w:rsidR="003F6C81" w:rsidRPr="00B9607F" w:rsidRDefault="003F6C81" w:rsidP="003F6C81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="000553FA" w:rsidRPr="00B960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s originály a výdaje uvedené v soupisech jsou shodné se záznamy v účetnictví příjemce.</w:t>
      </w:r>
    </w:p>
    <w:p w14:paraId="59F2AB90" w14:textId="5D86A63F" w:rsidR="00033D95" w:rsidRPr="006024A4" w:rsidRDefault="00033D95" w:rsidP="00033D95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</w:p>
    <w:p w14:paraId="69F0A60C" w14:textId="4719498A" w:rsidR="00BB7B77" w:rsidRPr="00B9607F" w:rsidRDefault="00BB7B77" w:rsidP="00BB7B7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9607F">
        <w:rPr>
          <w:rFonts w:ascii="Arial" w:hAnsi="Arial" w:cs="Arial"/>
          <w:sz w:val="24"/>
          <w:szCs w:val="24"/>
        </w:rPr>
        <w:t>být v listinné formě a musí obsahovat</w:t>
      </w:r>
      <w:r w:rsidRPr="00B960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B9607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9607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6C1CBF8" w14:textId="2E9FE81D" w:rsidR="00AD4B58" w:rsidRPr="00B9607F" w:rsidRDefault="003F6C81" w:rsidP="00AC66B4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</w:t>
      </w:r>
      <w:r w:rsidR="00F6091C" w:rsidRPr="00B9607F">
        <w:rPr>
          <w:rFonts w:ascii="Arial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</w:t>
      </w:r>
      <w:r w:rsidR="00033D95" w:rsidRPr="00B9607F">
        <w:rPr>
          <w:rFonts w:ascii="Arial" w:hAnsi="Arial" w:cs="Arial"/>
          <w:sz w:val="24"/>
          <w:szCs w:val="24"/>
          <w:lang w:eastAsia="cs-CZ"/>
        </w:rPr>
        <w:t>předložení vyúčtování poskytovateli</w:t>
      </w:r>
      <w:r w:rsidR="00F6091C" w:rsidRPr="00B9607F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ust. § 22 zákona č. 250/2000 Sb., o rozpočtových pravidlech územních rozpočtů, ve znění pozdějších předpisů. </w:t>
      </w:r>
      <w:r w:rsidR="00CC2436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9DECA08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2F981A2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9"/>
        <w:gridCol w:w="2352"/>
      </w:tblGrid>
      <w:tr w:rsidR="003F6C81" w:rsidRPr="00B9607F" w14:paraId="12AD0AEB" w14:textId="77777777" w:rsidTr="00B95DB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C04A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A76E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F6C81" w:rsidRPr="00B9607F" w14:paraId="5E63B2FA" w14:textId="77777777" w:rsidTr="00B95DB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98B0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5E11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2C176B02" w14:textId="77777777" w:rsidTr="00B95DB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03F4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6707" w14:textId="28AD988D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6B027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F6C81" w:rsidRPr="00B9607F" w14:paraId="6C35F1C0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021F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B234D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0248525E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361A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7E41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791767DB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8FF4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5923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7AA13FB4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3C17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F7D2" w14:textId="012575E5" w:rsidR="003F6C81" w:rsidRPr="006B027A" w:rsidRDefault="003F6C81" w:rsidP="006B027A">
            <w:pPr>
              <w:pStyle w:val="Odstavecseseznamem"/>
              <w:numPr>
                <w:ilvl w:val="0"/>
                <w:numId w:val="38"/>
              </w:numPr>
              <w:ind w:hanging="196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2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1715C585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ADD8980" w14:textId="54A7ADC5" w:rsidR="0046229A" w:rsidRPr="00102FE1" w:rsidRDefault="0046229A" w:rsidP="00102FE1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02FE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102FE1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102FE1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102FE1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7A8E71C3" w14:textId="77777777" w:rsidR="003F6C81" w:rsidRPr="001950A1" w:rsidRDefault="003F6C81" w:rsidP="00AC66B4">
      <w:pPr>
        <w:numPr>
          <w:ilvl w:val="0"/>
          <w:numId w:val="3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F5AB6E3" w14:textId="51EDE22F" w:rsidR="001950A1" w:rsidRPr="001514F1" w:rsidRDefault="001950A1" w:rsidP="001514F1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1950A1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1950A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1950A1">
        <w:rPr>
          <w:rFonts w:ascii="Arial" w:hAnsi="Arial" w:cs="Arial"/>
          <w:bCs/>
          <w:sz w:val="24"/>
        </w:rPr>
        <w:t>bude po dobu minimálně 2 let</w:t>
      </w:r>
      <w:r w:rsidRPr="001950A1">
        <w:rPr>
          <w:rFonts w:ascii="Arial" w:hAnsi="Arial" w:cs="Arial"/>
          <w:i/>
          <w:sz w:val="24"/>
        </w:rPr>
        <w:t xml:space="preserve"> </w:t>
      </w:r>
      <w:r w:rsidRPr="001950A1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1950A1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1950A1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6DB7C16B" w14:textId="77777777" w:rsidR="003F6C81" w:rsidRPr="00B9607F" w:rsidRDefault="003F6C81" w:rsidP="001514F1">
      <w:pPr>
        <w:numPr>
          <w:ilvl w:val="0"/>
          <w:numId w:val="3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3D8405C8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CDE9051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515331EA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7FAECA93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6F9E712B" w14:textId="77777777" w:rsidR="003F6C81" w:rsidRPr="00BB278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7237BFED" w14:textId="32BC51F5" w:rsidR="00953998" w:rsidRPr="001514F1" w:rsidRDefault="00BB278F" w:rsidP="00AE3D43">
      <w:pPr>
        <w:pStyle w:val="Odstavecseseznamem"/>
        <w:numPr>
          <w:ilvl w:val="0"/>
          <w:numId w:val="35"/>
        </w:numPr>
        <w:tabs>
          <w:tab w:val="clear" w:pos="56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14F1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2C6883EC" w14:textId="77777777" w:rsidR="003F6C81" w:rsidRPr="00B9607F" w:rsidRDefault="003F6C81" w:rsidP="00D515BA">
      <w:pPr>
        <w:spacing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099AD9B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2A5E7FA" w14:textId="7464CE3E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="0033077E"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1C14567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3E904341" w14:textId="3FC23BB4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</w:t>
      </w:r>
      <w:r w:rsidR="00BB278F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F70EF5A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registru podpor malého rozsahu.</w:t>
      </w:r>
    </w:p>
    <w:p w14:paraId="665EF56A" w14:textId="63F9D699" w:rsidR="0033077E" w:rsidRPr="00102FE1" w:rsidRDefault="0033077E" w:rsidP="00FD5A2B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102F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Odstavce 2-5 se uvedou, jedná-li se o veřejnou podporu. </w:t>
      </w:r>
    </w:p>
    <w:p w14:paraId="6A9B2842" w14:textId="77777777" w:rsidR="003F6C81" w:rsidRPr="00102FE1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02FE1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5D6460A3" w14:textId="77777777" w:rsidR="003F6C81" w:rsidRPr="00102FE1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02FE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EDC464C" w14:textId="77777777" w:rsidR="003F6C81" w:rsidRPr="00102FE1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02FE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381BFD5" w14:textId="77777777" w:rsidR="003F6C81" w:rsidRPr="00102FE1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02FE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73A90958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02F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36D8734C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ABED9C6" w14:textId="4FB2143F" w:rsidR="00BB7B77" w:rsidRDefault="00BB7B77" w:rsidP="00A14B53">
      <w:pPr>
        <w:pStyle w:val="Odstavecseseznamem"/>
        <w:numPr>
          <w:ilvl w:val="0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76B53E4B" w14:textId="0C444B6E" w:rsidR="00BB7B77" w:rsidRPr="00B9607F" w:rsidRDefault="00BB7B77" w:rsidP="00A14B53">
      <w:pPr>
        <w:pStyle w:val="Odstavecseseznamem"/>
        <w:numPr>
          <w:ilvl w:val="0"/>
          <w:numId w:val="2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03E75D69" w14:textId="77777777" w:rsidR="009B05C2" w:rsidRDefault="009B05C2" w:rsidP="00F609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4370E5" w14:textId="77777777" w:rsidR="003F6C81" w:rsidRPr="00B9607F" w:rsidRDefault="003F6C81" w:rsidP="00F609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F6C81" w:rsidRPr="00B9607F" w14:paraId="54627DFF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EB53" w14:textId="77777777" w:rsidR="00F6091C" w:rsidRPr="00B9607F" w:rsidRDefault="00F6091C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1CBFB7E" w14:textId="65497E1B" w:rsidR="00F6091C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2B19B" w14:textId="77777777" w:rsidR="00F6091C" w:rsidRPr="00B9607F" w:rsidRDefault="00F6091C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97BFB3F" w14:textId="77777777" w:rsidR="003F6C81" w:rsidRPr="00B9607F" w:rsidRDefault="003F6C81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6C81" w:rsidRPr="00B9607F" w14:paraId="631C23DE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AD325" w14:textId="77777777" w:rsidR="00953998" w:rsidRDefault="00953998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1887EDE" w14:textId="77777777" w:rsidR="003F6C81" w:rsidRPr="00B9607F" w:rsidRDefault="003F6C81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7C08D9CF" w14:textId="77777777" w:rsidR="003C6345" w:rsidRDefault="003C6345" w:rsidP="003C634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337EC7CB" w14:textId="48E7E831" w:rsidR="003F6C81" w:rsidRPr="00B9607F" w:rsidRDefault="003C6345" w:rsidP="003C6345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30996" w14:textId="77777777" w:rsidR="00953998" w:rsidRDefault="00953998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1C37996" w14:textId="77777777" w:rsidR="003F6C81" w:rsidRPr="00B9607F" w:rsidRDefault="003F6C81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633C56D" w14:textId="77777777" w:rsidR="008D2BF7" w:rsidRPr="00B9607F" w:rsidRDefault="008D2BF7" w:rsidP="00F40628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7BB58BE5" w14:textId="77777777" w:rsidR="004224D5" w:rsidRPr="00B9607F" w:rsidRDefault="004224D5" w:rsidP="003D42D7">
      <w:pPr>
        <w:rPr>
          <w:rFonts w:ascii="Arial" w:hAnsi="Arial" w:cs="Arial"/>
          <w:bCs/>
        </w:rPr>
      </w:pPr>
    </w:p>
    <w:sectPr w:rsidR="004224D5" w:rsidRPr="00B9607F" w:rsidSect="0052512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2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100CD" w14:textId="77777777" w:rsidR="0063642D" w:rsidRDefault="0063642D" w:rsidP="00D40C40">
      <w:r>
        <w:separator/>
      </w:r>
    </w:p>
  </w:endnote>
  <w:endnote w:type="continuationSeparator" w:id="0">
    <w:p w14:paraId="52166FF5" w14:textId="77777777" w:rsidR="0063642D" w:rsidRDefault="0063642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E053" w14:textId="277D6BE3" w:rsidR="00DD7191" w:rsidRPr="000F7FC3" w:rsidRDefault="002C63EF" w:rsidP="00DD719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DD7191" w:rsidRPr="000F7FC3">
      <w:rPr>
        <w:rFonts w:ascii="Arial" w:hAnsi="Arial" w:cs="Arial"/>
        <w:i/>
        <w:sz w:val="20"/>
        <w:szCs w:val="20"/>
      </w:rPr>
      <w:tab/>
    </w:r>
    <w:r w:rsidR="00DD7191" w:rsidRPr="000F7FC3">
      <w:rPr>
        <w:rFonts w:ascii="Arial" w:hAnsi="Arial" w:cs="Arial"/>
        <w:i/>
        <w:sz w:val="20"/>
        <w:szCs w:val="20"/>
      </w:rPr>
      <w:tab/>
      <w:t xml:space="preserve">Strana </w:t>
    </w:r>
    <w:r w:rsidR="00DD7191" w:rsidRPr="000F7FC3">
      <w:rPr>
        <w:rFonts w:ascii="Arial" w:hAnsi="Arial" w:cs="Arial"/>
        <w:i/>
        <w:sz w:val="20"/>
        <w:szCs w:val="20"/>
      </w:rPr>
      <w:fldChar w:fldCharType="begin"/>
    </w:r>
    <w:r w:rsidR="00DD7191" w:rsidRPr="000F7FC3">
      <w:rPr>
        <w:rFonts w:ascii="Arial" w:hAnsi="Arial" w:cs="Arial"/>
        <w:i/>
        <w:sz w:val="20"/>
        <w:szCs w:val="20"/>
      </w:rPr>
      <w:instrText>PAGE   \* MERGEFORMAT</w:instrText>
    </w:r>
    <w:r w:rsidR="00DD7191" w:rsidRPr="000F7FC3">
      <w:rPr>
        <w:rFonts w:ascii="Arial" w:hAnsi="Arial" w:cs="Arial"/>
        <w:i/>
        <w:sz w:val="20"/>
        <w:szCs w:val="20"/>
      </w:rPr>
      <w:fldChar w:fldCharType="separate"/>
    </w:r>
    <w:r w:rsidR="004B3071">
      <w:rPr>
        <w:rFonts w:ascii="Arial" w:hAnsi="Arial" w:cs="Arial"/>
        <w:i/>
        <w:noProof/>
        <w:sz w:val="20"/>
        <w:szCs w:val="20"/>
      </w:rPr>
      <w:t>233</w:t>
    </w:r>
    <w:r w:rsidR="00DD7191" w:rsidRPr="000F7FC3">
      <w:rPr>
        <w:rFonts w:ascii="Arial" w:hAnsi="Arial" w:cs="Arial"/>
        <w:i/>
        <w:sz w:val="20"/>
        <w:szCs w:val="20"/>
      </w:rPr>
      <w:fldChar w:fldCharType="end"/>
    </w:r>
    <w:r w:rsidR="00DD7191" w:rsidRPr="000F7FC3">
      <w:rPr>
        <w:rFonts w:ascii="Arial" w:hAnsi="Arial" w:cs="Arial"/>
        <w:i/>
        <w:sz w:val="20"/>
        <w:szCs w:val="20"/>
      </w:rPr>
      <w:t xml:space="preserve"> (celkem </w:t>
    </w:r>
    <w:r w:rsidR="001341A5" w:rsidRPr="000F7FC3">
      <w:rPr>
        <w:rFonts w:ascii="Arial" w:hAnsi="Arial" w:cs="Arial"/>
        <w:i/>
        <w:sz w:val="20"/>
        <w:szCs w:val="20"/>
      </w:rPr>
      <w:t>2</w:t>
    </w:r>
    <w:r w:rsidR="00623921">
      <w:rPr>
        <w:rFonts w:ascii="Arial" w:hAnsi="Arial" w:cs="Arial"/>
        <w:i/>
        <w:sz w:val="20"/>
        <w:szCs w:val="20"/>
      </w:rPr>
      <w:t>4</w:t>
    </w:r>
    <w:r w:rsidR="001341A5" w:rsidRPr="000F7FC3">
      <w:rPr>
        <w:rFonts w:ascii="Arial" w:hAnsi="Arial" w:cs="Arial"/>
        <w:i/>
        <w:sz w:val="20"/>
        <w:szCs w:val="20"/>
      </w:rPr>
      <w:t>0</w:t>
    </w:r>
    <w:r w:rsidR="00DD7191" w:rsidRPr="000F7FC3">
      <w:rPr>
        <w:rFonts w:ascii="Arial" w:hAnsi="Arial" w:cs="Arial"/>
        <w:i/>
        <w:sz w:val="20"/>
        <w:szCs w:val="20"/>
      </w:rPr>
      <w:t>)</w:t>
    </w:r>
  </w:p>
  <w:p w14:paraId="518509CA" w14:textId="02511D1B" w:rsidR="00DD7191" w:rsidRPr="000F7FC3" w:rsidRDefault="004B3071" w:rsidP="006745E1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6745E1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DD7191" w:rsidRPr="000F7FC3">
      <w:rPr>
        <w:rFonts w:ascii="Arial" w:hAnsi="Arial" w:cs="Arial"/>
        <w:i/>
        <w:iCs/>
        <w:sz w:val="20"/>
        <w:szCs w:val="20"/>
      </w:rPr>
      <w:t xml:space="preserve">– </w:t>
    </w:r>
    <w:r w:rsidR="00E355BF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38EEB4C7" w:rsidR="00EB0733" w:rsidRPr="000F7FC3" w:rsidRDefault="000F7FC3" w:rsidP="000F7FC3">
    <w:pPr>
      <w:pStyle w:val="Zhlav"/>
      <w:ind w:left="1560" w:hanging="1560"/>
      <w:rPr>
        <w:i/>
      </w:rPr>
    </w:pPr>
    <w:r w:rsidRPr="000F7FC3">
      <w:rPr>
        <w:rFonts w:ascii="Arial" w:hAnsi="Arial" w:cs="Arial"/>
        <w:i/>
        <w:sz w:val="20"/>
        <w:szCs w:val="20"/>
      </w:rPr>
      <w:t xml:space="preserve">Příloha č. 12h </w:t>
    </w:r>
    <w:r w:rsidRPr="000F7FC3">
      <w:rPr>
        <w:rFonts w:ascii="Arial" w:hAnsi="Arial" w:cs="Arial"/>
        <w:i/>
        <w:sz w:val="20"/>
        <w:szCs w:val="20"/>
      </w:rPr>
      <w:softHyphen/>
      <w:t>– Vzorová veřejnoprávní smlouva v rámci dotačního titulu č. 4 - Podpora aktivit směřujících k sociálnímu začleňování (činnost – plná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EB0733" w:rsidRPr="00531AE7" w:rsidRDefault="00EB0733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EB0733" w:rsidRPr="00531AE7" w:rsidRDefault="00EB0733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EB0733" w:rsidRPr="00531AE7" w:rsidRDefault="00EB0733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EB0733" w:rsidRDefault="00EB07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D9EB7" w14:textId="77777777" w:rsidR="0063642D" w:rsidRDefault="0063642D" w:rsidP="00D40C40">
      <w:r>
        <w:separator/>
      </w:r>
    </w:p>
  </w:footnote>
  <w:footnote w:type="continuationSeparator" w:id="0">
    <w:p w14:paraId="6D830875" w14:textId="77777777" w:rsidR="0063642D" w:rsidRDefault="0063642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EBBB8" w14:textId="47154342" w:rsidR="000F7FC3" w:rsidRDefault="000F7FC3" w:rsidP="000F7FC3">
    <w:pPr>
      <w:pStyle w:val="Zhlav"/>
      <w:ind w:left="1418" w:hanging="1560"/>
    </w:pPr>
    <w:r>
      <w:rPr>
        <w:rFonts w:ascii="Arial" w:hAnsi="Arial" w:cs="Arial"/>
        <w:sz w:val="20"/>
        <w:szCs w:val="20"/>
      </w:rPr>
      <w:t xml:space="preserve">Příloha č. 12h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4 - Podpora aktivit směřujících k sociálnímu začleňování (činnost – plná výše dotace – nad 30 000 Kč)</w:t>
    </w:r>
  </w:p>
  <w:p w14:paraId="67D9F5BD" w14:textId="77777777" w:rsidR="00EB0733" w:rsidRDefault="00EB07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7C82F486"/>
    <w:lvl w:ilvl="0" w:tplc="4304493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A17C7916"/>
    <w:lvl w:ilvl="0" w:tplc="E5D247E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0DF057CF"/>
    <w:multiLevelType w:val="multilevel"/>
    <w:tmpl w:val="C3DA2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9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5285117"/>
    <w:multiLevelType w:val="hybridMultilevel"/>
    <w:tmpl w:val="AFE2E1A2"/>
    <w:lvl w:ilvl="0" w:tplc="3E42FD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B21A9"/>
    <w:multiLevelType w:val="hybridMultilevel"/>
    <w:tmpl w:val="04CC7E2E"/>
    <w:lvl w:ilvl="0" w:tplc="16725AEC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FE7335D"/>
    <w:multiLevelType w:val="hybridMultilevel"/>
    <w:tmpl w:val="C540A6C8"/>
    <w:lvl w:ilvl="0" w:tplc="BC522A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923A5"/>
    <w:multiLevelType w:val="multilevel"/>
    <w:tmpl w:val="CC9882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0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1">
    <w:nsid w:val="59F54BAF"/>
    <w:multiLevelType w:val="multilevel"/>
    <w:tmpl w:val="41B6563C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7D93ABB"/>
    <w:multiLevelType w:val="multilevel"/>
    <w:tmpl w:val="B0BEF2AC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7">
    <w:nsid w:val="7A0D2499"/>
    <w:multiLevelType w:val="multilevel"/>
    <w:tmpl w:val="CB342C9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A8F1159"/>
    <w:multiLevelType w:val="multilevel"/>
    <w:tmpl w:val="0E566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7B611441"/>
    <w:multiLevelType w:val="hybridMultilevel"/>
    <w:tmpl w:val="5E9039A6"/>
    <w:lvl w:ilvl="0" w:tplc="84A431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A4085"/>
    <w:multiLevelType w:val="multilevel"/>
    <w:tmpl w:val="2458BC8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C39D1"/>
    <w:multiLevelType w:val="multilevel"/>
    <w:tmpl w:val="D09C65B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31"/>
  </w:num>
  <w:num w:numId="5">
    <w:abstractNumId w:val="17"/>
  </w:num>
  <w:num w:numId="6">
    <w:abstractNumId w:val="18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2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1"/>
  </w:num>
  <w:num w:numId="16">
    <w:abstractNumId w:val="0"/>
  </w:num>
  <w:num w:numId="17">
    <w:abstractNumId w:val="4"/>
  </w:num>
  <w:num w:numId="18">
    <w:abstractNumId w:val="19"/>
  </w:num>
  <w:num w:numId="19">
    <w:abstractNumId w:val="14"/>
  </w:num>
  <w:num w:numId="20">
    <w:abstractNumId w:val="3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  <w:num w:numId="29">
    <w:abstractNumId w:val="1"/>
  </w:num>
  <w:num w:numId="30">
    <w:abstractNumId w:val="26"/>
  </w:num>
  <w:num w:numId="31">
    <w:abstractNumId w:val="8"/>
  </w:num>
  <w:num w:numId="32">
    <w:abstractNumId w:val="2"/>
  </w:num>
  <w:num w:numId="33">
    <w:abstractNumId w:val="33"/>
  </w:num>
  <w:num w:numId="34">
    <w:abstractNumId w:val="27"/>
  </w:num>
  <w:num w:numId="35">
    <w:abstractNumId w:val="34"/>
  </w:num>
  <w:num w:numId="36">
    <w:abstractNumId w:val="23"/>
  </w:num>
  <w:num w:numId="37">
    <w:abstractNumId w:val="30"/>
  </w:num>
  <w:num w:numId="38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F25"/>
    <w:rsid w:val="00001344"/>
    <w:rsid w:val="000032B4"/>
    <w:rsid w:val="000047EB"/>
    <w:rsid w:val="00006AE8"/>
    <w:rsid w:val="00014A64"/>
    <w:rsid w:val="00015CA9"/>
    <w:rsid w:val="00025AAA"/>
    <w:rsid w:val="0003020A"/>
    <w:rsid w:val="00032265"/>
    <w:rsid w:val="000335E1"/>
    <w:rsid w:val="00033D95"/>
    <w:rsid w:val="00034F6D"/>
    <w:rsid w:val="00036D9F"/>
    <w:rsid w:val="00037E6B"/>
    <w:rsid w:val="00037E91"/>
    <w:rsid w:val="00040936"/>
    <w:rsid w:val="000422B6"/>
    <w:rsid w:val="00042781"/>
    <w:rsid w:val="00044F1D"/>
    <w:rsid w:val="000463D9"/>
    <w:rsid w:val="0004640A"/>
    <w:rsid w:val="00046C45"/>
    <w:rsid w:val="00051A06"/>
    <w:rsid w:val="0005287A"/>
    <w:rsid w:val="000553FA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77FB3"/>
    <w:rsid w:val="000812E1"/>
    <w:rsid w:val="00083837"/>
    <w:rsid w:val="0009167B"/>
    <w:rsid w:val="00092765"/>
    <w:rsid w:val="000950D4"/>
    <w:rsid w:val="0009666A"/>
    <w:rsid w:val="000A1C1C"/>
    <w:rsid w:val="000A2109"/>
    <w:rsid w:val="000A6591"/>
    <w:rsid w:val="000B0318"/>
    <w:rsid w:val="000B10E1"/>
    <w:rsid w:val="000B1B0F"/>
    <w:rsid w:val="000B508A"/>
    <w:rsid w:val="000B5493"/>
    <w:rsid w:val="000C0F3A"/>
    <w:rsid w:val="000C43D4"/>
    <w:rsid w:val="000C7650"/>
    <w:rsid w:val="000D0819"/>
    <w:rsid w:val="000D319D"/>
    <w:rsid w:val="000D442F"/>
    <w:rsid w:val="000D6524"/>
    <w:rsid w:val="000E2BFA"/>
    <w:rsid w:val="000E4EB8"/>
    <w:rsid w:val="000E72E9"/>
    <w:rsid w:val="000E7952"/>
    <w:rsid w:val="000F7FC3"/>
    <w:rsid w:val="00102FE1"/>
    <w:rsid w:val="0010380F"/>
    <w:rsid w:val="00105061"/>
    <w:rsid w:val="00105E6C"/>
    <w:rsid w:val="00107977"/>
    <w:rsid w:val="001158F5"/>
    <w:rsid w:val="00117CC2"/>
    <w:rsid w:val="00122793"/>
    <w:rsid w:val="00124DBF"/>
    <w:rsid w:val="0012518C"/>
    <w:rsid w:val="00125FEF"/>
    <w:rsid w:val="00127828"/>
    <w:rsid w:val="001341A5"/>
    <w:rsid w:val="00137D65"/>
    <w:rsid w:val="00137DE8"/>
    <w:rsid w:val="001436D1"/>
    <w:rsid w:val="00143E82"/>
    <w:rsid w:val="00150850"/>
    <w:rsid w:val="00151043"/>
    <w:rsid w:val="001514F1"/>
    <w:rsid w:val="00153478"/>
    <w:rsid w:val="001547BB"/>
    <w:rsid w:val="00154952"/>
    <w:rsid w:val="001563D8"/>
    <w:rsid w:val="00161663"/>
    <w:rsid w:val="001621C6"/>
    <w:rsid w:val="00165A7E"/>
    <w:rsid w:val="00166168"/>
    <w:rsid w:val="0016665E"/>
    <w:rsid w:val="001677EB"/>
    <w:rsid w:val="001705B5"/>
    <w:rsid w:val="00171C02"/>
    <w:rsid w:val="001720A1"/>
    <w:rsid w:val="00172511"/>
    <w:rsid w:val="00172C61"/>
    <w:rsid w:val="00173F42"/>
    <w:rsid w:val="00175D80"/>
    <w:rsid w:val="001803AE"/>
    <w:rsid w:val="00183700"/>
    <w:rsid w:val="001854AA"/>
    <w:rsid w:val="001876F7"/>
    <w:rsid w:val="00187FE4"/>
    <w:rsid w:val="00190C18"/>
    <w:rsid w:val="0019284F"/>
    <w:rsid w:val="00193BEC"/>
    <w:rsid w:val="001950A1"/>
    <w:rsid w:val="001972D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B7D1C"/>
    <w:rsid w:val="001C037A"/>
    <w:rsid w:val="001C33D7"/>
    <w:rsid w:val="001C3E64"/>
    <w:rsid w:val="001D0BC4"/>
    <w:rsid w:val="001D0D6E"/>
    <w:rsid w:val="001D1DD2"/>
    <w:rsid w:val="001D42CD"/>
    <w:rsid w:val="001D4EB6"/>
    <w:rsid w:val="001D6533"/>
    <w:rsid w:val="001E21D4"/>
    <w:rsid w:val="001E2CF6"/>
    <w:rsid w:val="001E3D99"/>
    <w:rsid w:val="001E61B2"/>
    <w:rsid w:val="001E6893"/>
    <w:rsid w:val="001F13AC"/>
    <w:rsid w:val="001F3CA2"/>
    <w:rsid w:val="001F4D19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989"/>
    <w:rsid w:val="00220FF7"/>
    <w:rsid w:val="002225B3"/>
    <w:rsid w:val="002236D2"/>
    <w:rsid w:val="0022437F"/>
    <w:rsid w:val="002273F8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51D3"/>
    <w:rsid w:val="00247A74"/>
    <w:rsid w:val="00250995"/>
    <w:rsid w:val="00250B44"/>
    <w:rsid w:val="00253A30"/>
    <w:rsid w:val="00253B38"/>
    <w:rsid w:val="00254AC2"/>
    <w:rsid w:val="002601DB"/>
    <w:rsid w:val="00260335"/>
    <w:rsid w:val="00266EFB"/>
    <w:rsid w:val="0026708B"/>
    <w:rsid w:val="002717AC"/>
    <w:rsid w:val="00277B48"/>
    <w:rsid w:val="002806B1"/>
    <w:rsid w:val="00282E6E"/>
    <w:rsid w:val="002842C7"/>
    <w:rsid w:val="00284654"/>
    <w:rsid w:val="002872BE"/>
    <w:rsid w:val="002915BF"/>
    <w:rsid w:val="00291E60"/>
    <w:rsid w:val="002940E9"/>
    <w:rsid w:val="00296C12"/>
    <w:rsid w:val="002A13B2"/>
    <w:rsid w:val="002A2372"/>
    <w:rsid w:val="002A2544"/>
    <w:rsid w:val="002A35A5"/>
    <w:rsid w:val="002A3CD3"/>
    <w:rsid w:val="002A4ADE"/>
    <w:rsid w:val="002A662C"/>
    <w:rsid w:val="002A7B11"/>
    <w:rsid w:val="002B0C7D"/>
    <w:rsid w:val="002B690F"/>
    <w:rsid w:val="002C0CA8"/>
    <w:rsid w:val="002C2880"/>
    <w:rsid w:val="002C2BC4"/>
    <w:rsid w:val="002C5CFC"/>
    <w:rsid w:val="002C5F3A"/>
    <w:rsid w:val="002C63EF"/>
    <w:rsid w:val="002C71FE"/>
    <w:rsid w:val="002D100C"/>
    <w:rsid w:val="002D2C99"/>
    <w:rsid w:val="002D5445"/>
    <w:rsid w:val="002E6113"/>
    <w:rsid w:val="002E7D97"/>
    <w:rsid w:val="002F00FC"/>
    <w:rsid w:val="002F2753"/>
    <w:rsid w:val="00300450"/>
    <w:rsid w:val="003014F5"/>
    <w:rsid w:val="00305328"/>
    <w:rsid w:val="003057F2"/>
    <w:rsid w:val="00305EB3"/>
    <w:rsid w:val="00312AD0"/>
    <w:rsid w:val="003133EC"/>
    <w:rsid w:val="003150D3"/>
    <w:rsid w:val="00321FF4"/>
    <w:rsid w:val="0032223E"/>
    <w:rsid w:val="00322ED5"/>
    <w:rsid w:val="00326204"/>
    <w:rsid w:val="00330086"/>
    <w:rsid w:val="0033077E"/>
    <w:rsid w:val="00331F4D"/>
    <w:rsid w:val="0033568D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8433C"/>
    <w:rsid w:val="003862CF"/>
    <w:rsid w:val="003878DC"/>
    <w:rsid w:val="003936D5"/>
    <w:rsid w:val="00394585"/>
    <w:rsid w:val="00396D23"/>
    <w:rsid w:val="003A040E"/>
    <w:rsid w:val="003A406B"/>
    <w:rsid w:val="003A4AA2"/>
    <w:rsid w:val="003A5826"/>
    <w:rsid w:val="003B052C"/>
    <w:rsid w:val="003B0643"/>
    <w:rsid w:val="003B1BF1"/>
    <w:rsid w:val="003B376D"/>
    <w:rsid w:val="003B3C5D"/>
    <w:rsid w:val="003B4F80"/>
    <w:rsid w:val="003C2BA3"/>
    <w:rsid w:val="003C2DBD"/>
    <w:rsid w:val="003C45D9"/>
    <w:rsid w:val="003C6345"/>
    <w:rsid w:val="003C6D43"/>
    <w:rsid w:val="003C717E"/>
    <w:rsid w:val="003C7BC9"/>
    <w:rsid w:val="003D3790"/>
    <w:rsid w:val="003D39B7"/>
    <w:rsid w:val="003D42D7"/>
    <w:rsid w:val="003D52E1"/>
    <w:rsid w:val="003E023F"/>
    <w:rsid w:val="003E0724"/>
    <w:rsid w:val="003E17BF"/>
    <w:rsid w:val="003E489A"/>
    <w:rsid w:val="003F6C81"/>
    <w:rsid w:val="003F7C9E"/>
    <w:rsid w:val="004033EA"/>
    <w:rsid w:val="00405D22"/>
    <w:rsid w:val="00407ADE"/>
    <w:rsid w:val="0041137A"/>
    <w:rsid w:val="0041317B"/>
    <w:rsid w:val="004135C2"/>
    <w:rsid w:val="00413647"/>
    <w:rsid w:val="00413E2D"/>
    <w:rsid w:val="0041655B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334D"/>
    <w:rsid w:val="00437D00"/>
    <w:rsid w:val="00443F0A"/>
    <w:rsid w:val="00446F10"/>
    <w:rsid w:val="0044719F"/>
    <w:rsid w:val="00452184"/>
    <w:rsid w:val="0045517F"/>
    <w:rsid w:val="0045711A"/>
    <w:rsid w:val="00457128"/>
    <w:rsid w:val="00461BE6"/>
    <w:rsid w:val="0046229A"/>
    <w:rsid w:val="00467326"/>
    <w:rsid w:val="004678B6"/>
    <w:rsid w:val="00470D37"/>
    <w:rsid w:val="004754B6"/>
    <w:rsid w:val="004756B6"/>
    <w:rsid w:val="004769EC"/>
    <w:rsid w:val="004811A3"/>
    <w:rsid w:val="0048201A"/>
    <w:rsid w:val="004820D4"/>
    <w:rsid w:val="00486F4C"/>
    <w:rsid w:val="00495FA8"/>
    <w:rsid w:val="004A27E8"/>
    <w:rsid w:val="004B000B"/>
    <w:rsid w:val="004B192A"/>
    <w:rsid w:val="004B3071"/>
    <w:rsid w:val="004B3ABA"/>
    <w:rsid w:val="004C3E4C"/>
    <w:rsid w:val="004C59BF"/>
    <w:rsid w:val="004D09F2"/>
    <w:rsid w:val="004D2620"/>
    <w:rsid w:val="004D3A9B"/>
    <w:rsid w:val="004D3C67"/>
    <w:rsid w:val="004D7CAF"/>
    <w:rsid w:val="004E2514"/>
    <w:rsid w:val="004E2895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59B"/>
    <w:rsid w:val="00515C03"/>
    <w:rsid w:val="00517F36"/>
    <w:rsid w:val="00520749"/>
    <w:rsid w:val="0052512A"/>
    <w:rsid w:val="005258AA"/>
    <w:rsid w:val="00525FAE"/>
    <w:rsid w:val="00530A93"/>
    <w:rsid w:val="00531AE7"/>
    <w:rsid w:val="005333B5"/>
    <w:rsid w:val="005349A1"/>
    <w:rsid w:val="00534D53"/>
    <w:rsid w:val="00541F9F"/>
    <w:rsid w:val="00542712"/>
    <w:rsid w:val="00543768"/>
    <w:rsid w:val="005459E0"/>
    <w:rsid w:val="00545A5B"/>
    <w:rsid w:val="005469CD"/>
    <w:rsid w:val="0055217E"/>
    <w:rsid w:val="00557105"/>
    <w:rsid w:val="00562C58"/>
    <w:rsid w:val="00562D5B"/>
    <w:rsid w:val="005650A0"/>
    <w:rsid w:val="00566046"/>
    <w:rsid w:val="0056705E"/>
    <w:rsid w:val="00567BA7"/>
    <w:rsid w:val="00571EC8"/>
    <w:rsid w:val="00573099"/>
    <w:rsid w:val="005776DA"/>
    <w:rsid w:val="00577A62"/>
    <w:rsid w:val="00580363"/>
    <w:rsid w:val="00581A95"/>
    <w:rsid w:val="005848C6"/>
    <w:rsid w:val="00594773"/>
    <w:rsid w:val="0059526D"/>
    <w:rsid w:val="005A2AC3"/>
    <w:rsid w:val="005A7F3C"/>
    <w:rsid w:val="005B3B69"/>
    <w:rsid w:val="005B4A9C"/>
    <w:rsid w:val="005B6083"/>
    <w:rsid w:val="005B66FF"/>
    <w:rsid w:val="005C0490"/>
    <w:rsid w:val="005C24FA"/>
    <w:rsid w:val="005C579D"/>
    <w:rsid w:val="005C6701"/>
    <w:rsid w:val="005C69C9"/>
    <w:rsid w:val="005C7142"/>
    <w:rsid w:val="005D0F92"/>
    <w:rsid w:val="005D1434"/>
    <w:rsid w:val="005D21ED"/>
    <w:rsid w:val="005D4D86"/>
    <w:rsid w:val="005D753C"/>
    <w:rsid w:val="005E2BB4"/>
    <w:rsid w:val="005E5BBD"/>
    <w:rsid w:val="005F112C"/>
    <w:rsid w:val="005F3584"/>
    <w:rsid w:val="005F43AE"/>
    <w:rsid w:val="005F4772"/>
    <w:rsid w:val="005F635A"/>
    <w:rsid w:val="006024A4"/>
    <w:rsid w:val="006061B0"/>
    <w:rsid w:val="00606441"/>
    <w:rsid w:val="00607499"/>
    <w:rsid w:val="00610DE8"/>
    <w:rsid w:val="00611A33"/>
    <w:rsid w:val="00612773"/>
    <w:rsid w:val="006142C6"/>
    <w:rsid w:val="00621852"/>
    <w:rsid w:val="00621A3A"/>
    <w:rsid w:val="00623921"/>
    <w:rsid w:val="006259A7"/>
    <w:rsid w:val="006264E0"/>
    <w:rsid w:val="006304D1"/>
    <w:rsid w:val="0063642D"/>
    <w:rsid w:val="00644A22"/>
    <w:rsid w:val="00644F18"/>
    <w:rsid w:val="00656A7E"/>
    <w:rsid w:val="00663A39"/>
    <w:rsid w:val="00664B7A"/>
    <w:rsid w:val="00666781"/>
    <w:rsid w:val="00666F82"/>
    <w:rsid w:val="006675CF"/>
    <w:rsid w:val="00667FE9"/>
    <w:rsid w:val="00670D45"/>
    <w:rsid w:val="006745E1"/>
    <w:rsid w:val="00674648"/>
    <w:rsid w:val="00674A0A"/>
    <w:rsid w:val="0067634A"/>
    <w:rsid w:val="00676E36"/>
    <w:rsid w:val="00677288"/>
    <w:rsid w:val="00690949"/>
    <w:rsid w:val="00693250"/>
    <w:rsid w:val="00697111"/>
    <w:rsid w:val="006A6976"/>
    <w:rsid w:val="006A6E9A"/>
    <w:rsid w:val="006B027A"/>
    <w:rsid w:val="006B1973"/>
    <w:rsid w:val="006B2F8C"/>
    <w:rsid w:val="006B3592"/>
    <w:rsid w:val="006B3B2A"/>
    <w:rsid w:val="006B4F48"/>
    <w:rsid w:val="006C061A"/>
    <w:rsid w:val="006C0907"/>
    <w:rsid w:val="006C0D2D"/>
    <w:rsid w:val="006C15AD"/>
    <w:rsid w:val="006C3010"/>
    <w:rsid w:val="006C43C7"/>
    <w:rsid w:val="006D0AC7"/>
    <w:rsid w:val="006D101C"/>
    <w:rsid w:val="006E33A0"/>
    <w:rsid w:val="006E5BA7"/>
    <w:rsid w:val="006F1BEC"/>
    <w:rsid w:val="007004BC"/>
    <w:rsid w:val="00711102"/>
    <w:rsid w:val="007117EC"/>
    <w:rsid w:val="007122B1"/>
    <w:rsid w:val="0071401C"/>
    <w:rsid w:val="00720FB1"/>
    <w:rsid w:val="0072192A"/>
    <w:rsid w:val="00734086"/>
    <w:rsid w:val="00735623"/>
    <w:rsid w:val="00735E1F"/>
    <w:rsid w:val="007360D6"/>
    <w:rsid w:val="007406E8"/>
    <w:rsid w:val="00743EE8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801E5"/>
    <w:rsid w:val="00780CA4"/>
    <w:rsid w:val="0078156B"/>
    <w:rsid w:val="00781CD2"/>
    <w:rsid w:val="007863C1"/>
    <w:rsid w:val="00786607"/>
    <w:rsid w:val="00786B20"/>
    <w:rsid w:val="00790533"/>
    <w:rsid w:val="00790A32"/>
    <w:rsid w:val="00792A59"/>
    <w:rsid w:val="007939A6"/>
    <w:rsid w:val="00794AAC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5EEE"/>
    <w:rsid w:val="007C745E"/>
    <w:rsid w:val="007C74BB"/>
    <w:rsid w:val="007D3C8F"/>
    <w:rsid w:val="007E0009"/>
    <w:rsid w:val="007E10BA"/>
    <w:rsid w:val="007E187C"/>
    <w:rsid w:val="007E5D6A"/>
    <w:rsid w:val="007E6038"/>
    <w:rsid w:val="007E6FA2"/>
    <w:rsid w:val="007F4855"/>
    <w:rsid w:val="007F71DE"/>
    <w:rsid w:val="008007F4"/>
    <w:rsid w:val="00803034"/>
    <w:rsid w:val="00810033"/>
    <w:rsid w:val="00810C7B"/>
    <w:rsid w:val="00811C9A"/>
    <w:rsid w:val="00816AE4"/>
    <w:rsid w:val="00820B4D"/>
    <w:rsid w:val="00821F04"/>
    <w:rsid w:val="00824CBB"/>
    <w:rsid w:val="00832011"/>
    <w:rsid w:val="00832ABD"/>
    <w:rsid w:val="00837501"/>
    <w:rsid w:val="00841F3B"/>
    <w:rsid w:val="00845106"/>
    <w:rsid w:val="008556B1"/>
    <w:rsid w:val="0085615A"/>
    <w:rsid w:val="00865E8F"/>
    <w:rsid w:val="0086634E"/>
    <w:rsid w:val="0086771D"/>
    <w:rsid w:val="00872D44"/>
    <w:rsid w:val="008751A4"/>
    <w:rsid w:val="00877C20"/>
    <w:rsid w:val="008818B1"/>
    <w:rsid w:val="0088243B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BF7"/>
    <w:rsid w:val="008D2FA3"/>
    <w:rsid w:val="008D5340"/>
    <w:rsid w:val="008D747A"/>
    <w:rsid w:val="008E0178"/>
    <w:rsid w:val="008E4020"/>
    <w:rsid w:val="008F3C8A"/>
    <w:rsid w:val="00901416"/>
    <w:rsid w:val="009025C1"/>
    <w:rsid w:val="00904ACF"/>
    <w:rsid w:val="009060B3"/>
    <w:rsid w:val="009119F6"/>
    <w:rsid w:val="00912D3B"/>
    <w:rsid w:val="0091446D"/>
    <w:rsid w:val="0092003A"/>
    <w:rsid w:val="009219BF"/>
    <w:rsid w:val="00924D5F"/>
    <w:rsid w:val="009264AC"/>
    <w:rsid w:val="00933519"/>
    <w:rsid w:val="00933813"/>
    <w:rsid w:val="009345B3"/>
    <w:rsid w:val="00937749"/>
    <w:rsid w:val="00937AB9"/>
    <w:rsid w:val="00946358"/>
    <w:rsid w:val="009463E3"/>
    <w:rsid w:val="00952936"/>
    <w:rsid w:val="00953998"/>
    <w:rsid w:val="00955EF2"/>
    <w:rsid w:val="0095627A"/>
    <w:rsid w:val="009671A3"/>
    <w:rsid w:val="00972189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4C1A"/>
    <w:rsid w:val="0099548B"/>
    <w:rsid w:val="00995A7B"/>
    <w:rsid w:val="009A49A1"/>
    <w:rsid w:val="009A7213"/>
    <w:rsid w:val="009A724B"/>
    <w:rsid w:val="009A7BD4"/>
    <w:rsid w:val="009A7CF0"/>
    <w:rsid w:val="009A7F94"/>
    <w:rsid w:val="009B055D"/>
    <w:rsid w:val="009B05C2"/>
    <w:rsid w:val="009B662B"/>
    <w:rsid w:val="009B6BE7"/>
    <w:rsid w:val="009C03D8"/>
    <w:rsid w:val="009C3825"/>
    <w:rsid w:val="009C5114"/>
    <w:rsid w:val="009C5933"/>
    <w:rsid w:val="009D6778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18E"/>
    <w:rsid w:val="00A0381B"/>
    <w:rsid w:val="00A05B6A"/>
    <w:rsid w:val="00A1282D"/>
    <w:rsid w:val="00A13382"/>
    <w:rsid w:val="00A13E88"/>
    <w:rsid w:val="00A143CD"/>
    <w:rsid w:val="00A14B53"/>
    <w:rsid w:val="00A22B7A"/>
    <w:rsid w:val="00A244B2"/>
    <w:rsid w:val="00A247E2"/>
    <w:rsid w:val="00A25504"/>
    <w:rsid w:val="00A25D3B"/>
    <w:rsid w:val="00A26DE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676E9"/>
    <w:rsid w:val="00A77A0F"/>
    <w:rsid w:val="00A80BA4"/>
    <w:rsid w:val="00A818F1"/>
    <w:rsid w:val="00A821AE"/>
    <w:rsid w:val="00A82E58"/>
    <w:rsid w:val="00A87597"/>
    <w:rsid w:val="00A875A5"/>
    <w:rsid w:val="00A91B95"/>
    <w:rsid w:val="00A966EF"/>
    <w:rsid w:val="00A96E88"/>
    <w:rsid w:val="00A96F6E"/>
    <w:rsid w:val="00AA0BA0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C2A32"/>
    <w:rsid w:val="00AC66B4"/>
    <w:rsid w:val="00AC680C"/>
    <w:rsid w:val="00AD3B56"/>
    <w:rsid w:val="00AD4B58"/>
    <w:rsid w:val="00AE1269"/>
    <w:rsid w:val="00AE18C4"/>
    <w:rsid w:val="00AE3A72"/>
    <w:rsid w:val="00AE3D43"/>
    <w:rsid w:val="00AE3DBD"/>
    <w:rsid w:val="00AF161F"/>
    <w:rsid w:val="00AF7625"/>
    <w:rsid w:val="00AF77E0"/>
    <w:rsid w:val="00B01C65"/>
    <w:rsid w:val="00B03153"/>
    <w:rsid w:val="00B03C1D"/>
    <w:rsid w:val="00B04B70"/>
    <w:rsid w:val="00B05DE4"/>
    <w:rsid w:val="00B113A5"/>
    <w:rsid w:val="00B1245E"/>
    <w:rsid w:val="00B22181"/>
    <w:rsid w:val="00B2218C"/>
    <w:rsid w:val="00B23BED"/>
    <w:rsid w:val="00B3180F"/>
    <w:rsid w:val="00B37882"/>
    <w:rsid w:val="00B42B85"/>
    <w:rsid w:val="00B437A0"/>
    <w:rsid w:val="00B43E42"/>
    <w:rsid w:val="00B45D7E"/>
    <w:rsid w:val="00B47101"/>
    <w:rsid w:val="00B55580"/>
    <w:rsid w:val="00B5669C"/>
    <w:rsid w:val="00B56B3B"/>
    <w:rsid w:val="00B609DE"/>
    <w:rsid w:val="00B60F43"/>
    <w:rsid w:val="00B64C8F"/>
    <w:rsid w:val="00B671CB"/>
    <w:rsid w:val="00B67904"/>
    <w:rsid w:val="00B721FE"/>
    <w:rsid w:val="00B749C2"/>
    <w:rsid w:val="00B7656D"/>
    <w:rsid w:val="00B81080"/>
    <w:rsid w:val="00B90E79"/>
    <w:rsid w:val="00B92A32"/>
    <w:rsid w:val="00B92F1B"/>
    <w:rsid w:val="00B93394"/>
    <w:rsid w:val="00B95DB6"/>
    <w:rsid w:val="00B9607F"/>
    <w:rsid w:val="00B976A4"/>
    <w:rsid w:val="00B97DCD"/>
    <w:rsid w:val="00BA3415"/>
    <w:rsid w:val="00BA672E"/>
    <w:rsid w:val="00BB17B5"/>
    <w:rsid w:val="00BB1D43"/>
    <w:rsid w:val="00BB278F"/>
    <w:rsid w:val="00BB4DB2"/>
    <w:rsid w:val="00BB69AC"/>
    <w:rsid w:val="00BB6F1B"/>
    <w:rsid w:val="00BB7B77"/>
    <w:rsid w:val="00BC0009"/>
    <w:rsid w:val="00BC0CFB"/>
    <w:rsid w:val="00BC1C58"/>
    <w:rsid w:val="00BC217E"/>
    <w:rsid w:val="00BC3FCA"/>
    <w:rsid w:val="00BC4A90"/>
    <w:rsid w:val="00BC6EDD"/>
    <w:rsid w:val="00BC7DEF"/>
    <w:rsid w:val="00BD2179"/>
    <w:rsid w:val="00BD447C"/>
    <w:rsid w:val="00BD5F8F"/>
    <w:rsid w:val="00BE1A65"/>
    <w:rsid w:val="00BE5F39"/>
    <w:rsid w:val="00BE6FCB"/>
    <w:rsid w:val="00BF30CC"/>
    <w:rsid w:val="00BF67D5"/>
    <w:rsid w:val="00BF7C43"/>
    <w:rsid w:val="00C00392"/>
    <w:rsid w:val="00C05266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30DFF"/>
    <w:rsid w:val="00C31237"/>
    <w:rsid w:val="00C32822"/>
    <w:rsid w:val="00C33655"/>
    <w:rsid w:val="00C36A1D"/>
    <w:rsid w:val="00C37AF3"/>
    <w:rsid w:val="00C43E35"/>
    <w:rsid w:val="00C47590"/>
    <w:rsid w:val="00C475DB"/>
    <w:rsid w:val="00C522FA"/>
    <w:rsid w:val="00C566E0"/>
    <w:rsid w:val="00C5720A"/>
    <w:rsid w:val="00C61BB7"/>
    <w:rsid w:val="00C61DCE"/>
    <w:rsid w:val="00C63CC5"/>
    <w:rsid w:val="00C666E9"/>
    <w:rsid w:val="00C7203F"/>
    <w:rsid w:val="00C73FE7"/>
    <w:rsid w:val="00C74BFA"/>
    <w:rsid w:val="00C7578C"/>
    <w:rsid w:val="00C877AD"/>
    <w:rsid w:val="00C92651"/>
    <w:rsid w:val="00C97E3F"/>
    <w:rsid w:val="00CA0865"/>
    <w:rsid w:val="00CA19C3"/>
    <w:rsid w:val="00CA58C2"/>
    <w:rsid w:val="00CB0C41"/>
    <w:rsid w:val="00CB1AB0"/>
    <w:rsid w:val="00CB787C"/>
    <w:rsid w:val="00CB7992"/>
    <w:rsid w:val="00CC20D0"/>
    <w:rsid w:val="00CC2436"/>
    <w:rsid w:val="00CC2FA0"/>
    <w:rsid w:val="00CC721B"/>
    <w:rsid w:val="00CC7BAB"/>
    <w:rsid w:val="00CD167E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295D"/>
    <w:rsid w:val="00D045AF"/>
    <w:rsid w:val="00D05681"/>
    <w:rsid w:val="00D05F68"/>
    <w:rsid w:val="00D0665C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40C40"/>
    <w:rsid w:val="00D42D28"/>
    <w:rsid w:val="00D43C40"/>
    <w:rsid w:val="00D46165"/>
    <w:rsid w:val="00D515BA"/>
    <w:rsid w:val="00D547C7"/>
    <w:rsid w:val="00D60A48"/>
    <w:rsid w:val="00D61D3F"/>
    <w:rsid w:val="00D61EA4"/>
    <w:rsid w:val="00D704F9"/>
    <w:rsid w:val="00D7426C"/>
    <w:rsid w:val="00D74FAE"/>
    <w:rsid w:val="00D8021D"/>
    <w:rsid w:val="00D815C4"/>
    <w:rsid w:val="00D81A10"/>
    <w:rsid w:val="00D824EA"/>
    <w:rsid w:val="00D92E78"/>
    <w:rsid w:val="00D94503"/>
    <w:rsid w:val="00D94C93"/>
    <w:rsid w:val="00D95646"/>
    <w:rsid w:val="00D97207"/>
    <w:rsid w:val="00DA2B55"/>
    <w:rsid w:val="00DA358B"/>
    <w:rsid w:val="00DA4ABB"/>
    <w:rsid w:val="00DB7ABF"/>
    <w:rsid w:val="00DB7CC8"/>
    <w:rsid w:val="00DC349C"/>
    <w:rsid w:val="00DC473B"/>
    <w:rsid w:val="00DD7191"/>
    <w:rsid w:val="00DE134F"/>
    <w:rsid w:val="00DE16F7"/>
    <w:rsid w:val="00DE3DE3"/>
    <w:rsid w:val="00DE4FAF"/>
    <w:rsid w:val="00DE60A9"/>
    <w:rsid w:val="00DF0851"/>
    <w:rsid w:val="00DF119D"/>
    <w:rsid w:val="00DF1D13"/>
    <w:rsid w:val="00DF2E4F"/>
    <w:rsid w:val="00DF3FE4"/>
    <w:rsid w:val="00E039A3"/>
    <w:rsid w:val="00E07F4D"/>
    <w:rsid w:val="00E10C71"/>
    <w:rsid w:val="00E128AD"/>
    <w:rsid w:val="00E13318"/>
    <w:rsid w:val="00E17426"/>
    <w:rsid w:val="00E21EF9"/>
    <w:rsid w:val="00E227CF"/>
    <w:rsid w:val="00E23A36"/>
    <w:rsid w:val="00E26B33"/>
    <w:rsid w:val="00E276C5"/>
    <w:rsid w:val="00E324CF"/>
    <w:rsid w:val="00E335A4"/>
    <w:rsid w:val="00E3383E"/>
    <w:rsid w:val="00E355BF"/>
    <w:rsid w:val="00E374A8"/>
    <w:rsid w:val="00E37EDC"/>
    <w:rsid w:val="00E40F11"/>
    <w:rsid w:val="00E418A3"/>
    <w:rsid w:val="00E41ECB"/>
    <w:rsid w:val="00E42E83"/>
    <w:rsid w:val="00E456BF"/>
    <w:rsid w:val="00E456EE"/>
    <w:rsid w:val="00E5117A"/>
    <w:rsid w:val="00E53FD1"/>
    <w:rsid w:val="00E55E46"/>
    <w:rsid w:val="00E6050E"/>
    <w:rsid w:val="00E60EAE"/>
    <w:rsid w:val="00E623EE"/>
    <w:rsid w:val="00E63F73"/>
    <w:rsid w:val="00E70C7F"/>
    <w:rsid w:val="00E72B35"/>
    <w:rsid w:val="00E73924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9758B"/>
    <w:rsid w:val="00EA3E6A"/>
    <w:rsid w:val="00EA5E7D"/>
    <w:rsid w:val="00EB0733"/>
    <w:rsid w:val="00EB0B52"/>
    <w:rsid w:val="00EB402C"/>
    <w:rsid w:val="00EB56A8"/>
    <w:rsid w:val="00EB7529"/>
    <w:rsid w:val="00EC1B73"/>
    <w:rsid w:val="00EC3077"/>
    <w:rsid w:val="00EC3BEC"/>
    <w:rsid w:val="00EC5775"/>
    <w:rsid w:val="00EC5A31"/>
    <w:rsid w:val="00EC5D6B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158"/>
    <w:rsid w:val="00F00491"/>
    <w:rsid w:val="00F00BC9"/>
    <w:rsid w:val="00F05C7D"/>
    <w:rsid w:val="00F1104E"/>
    <w:rsid w:val="00F134CE"/>
    <w:rsid w:val="00F1636B"/>
    <w:rsid w:val="00F21160"/>
    <w:rsid w:val="00F23024"/>
    <w:rsid w:val="00F23F35"/>
    <w:rsid w:val="00F25C2B"/>
    <w:rsid w:val="00F27C81"/>
    <w:rsid w:val="00F35DEC"/>
    <w:rsid w:val="00F36F64"/>
    <w:rsid w:val="00F37102"/>
    <w:rsid w:val="00F40501"/>
    <w:rsid w:val="00F40628"/>
    <w:rsid w:val="00F41A16"/>
    <w:rsid w:val="00F42C49"/>
    <w:rsid w:val="00F47A3C"/>
    <w:rsid w:val="00F51B60"/>
    <w:rsid w:val="00F6091C"/>
    <w:rsid w:val="00F63D55"/>
    <w:rsid w:val="00F647AB"/>
    <w:rsid w:val="00F7251C"/>
    <w:rsid w:val="00F742DB"/>
    <w:rsid w:val="00F76698"/>
    <w:rsid w:val="00F805FE"/>
    <w:rsid w:val="00F819A1"/>
    <w:rsid w:val="00F83353"/>
    <w:rsid w:val="00F903CF"/>
    <w:rsid w:val="00F926B6"/>
    <w:rsid w:val="00F940D4"/>
    <w:rsid w:val="00F94705"/>
    <w:rsid w:val="00F94E57"/>
    <w:rsid w:val="00F95CB4"/>
    <w:rsid w:val="00F96E10"/>
    <w:rsid w:val="00FA26A5"/>
    <w:rsid w:val="00FA2B44"/>
    <w:rsid w:val="00FA4B2B"/>
    <w:rsid w:val="00FA5098"/>
    <w:rsid w:val="00FB0C98"/>
    <w:rsid w:val="00FB1EC4"/>
    <w:rsid w:val="00FB438D"/>
    <w:rsid w:val="00FB508C"/>
    <w:rsid w:val="00FC65CA"/>
    <w:rsid w:val="00FC71C9"/>
    <w:rsid w:val="00FC74E0"/>
    <w:rsid w:val="00FD0526"/>
    <w:rsid w:val="00FD07DA"/>
    <w:rsid w:val="00FD5A2B"/>
    <w:rsid w:val="00FE15B9"/>
    <w:rsid w:val="00FE2EE2"/>
    <w:rsid w:val="00FE3476"/>
    <w:rsid w:val="00FF0C5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8FA7-0760-4EF3-B7E3-5C10EEC8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2598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18</cp:revision>
  <cp:lastPrinted>2015-11-23T07:49:00Z</cp:lastPrinted>
  <dcterms:created xsi:type="dcterms:W3CDTF">2016-03-29T10:26:00Z</dcterms:created>
  <dcterms:modified xsi:type="dcterms:W3CDTF">2016-04-08T06:03:00Z</dcterms:modified>
</cp:coreProperties>
</file>