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32" w:rsidRPr="008450F3" w:rsidRDefault="009E7132" w:rsidP="000A7F4D">
      <w:pPr>
        <w:pStyle w:val="Zkladntextodsazen"/>
        <w:pageBreakBefore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Důvodová zpráva</w:t>
      </w:r>
    </w:p>
    <w:p w:rsidR="00EA6EA1" w:rsidRDefault="003E36B7" w:rsidP="000A7F4D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 w:rsidRPr="003E36B7">
        <w:rPr>
          <w:rFonts w:ascii="Arial" w:hAnsi="Arial" w:cs="Arial"/>
        </w:rPr>
        <w:t xml:space="preserve">V rámci </w:t>
      </w:r>
      <w:r>
        <w:rPr>
          <w:rFonts w:ascii="Arial" w:hAnsi="Arial" w:cs="Arial"/>
        </w:rPr>
        <w:t xml:space="preserve">programu </w:t>
      </w:r>
      <w:r w:rsidRPr="003E36B7">
        <w:rPr>
          <w:rFonts w:ascii="Arial" w:hAnsi="Arial" w:cs="Arial"/>
        </w:rPr>
        <w:t xml:space="preserve">individuálních žádostí </w:t>
      </w:r>
      <w:r>
        <w:rPr>
          <w:rFonts w:ascii="Arial" w:hAnsi="Arial" w:cs="Arial"/>
        </w:rPr>
        <w:t xml:space="preserve">o dotace </w:t>
      </w:r>
      <w:r w:rsidRPr="003E36B7">
        <w:rPr>
          <w:rFonts w:ascii="Arial" w:hAnsi="Arial" w:cs="Arial"/>
        </w:rPr>
        <w:t>obdržel odbor strategického rozvoje</w:t>
      </w:r>
      <w:r w:rsidR="00012378">
        <w:rPr>
          <w:rFonts w:ascii="Arial" w:hAnsi="Arial" w:cs="Arial"/>
        </w:rPr>
        <w:t xml:space="preserve"> kraje </w:t>
      </w:r>
      <w:r w:rsidR="00A115FA">
        <w:rPr>
          <w:rFonts w:ascii="Arial" w:hAnsi="Arial" w:cs="Arial"/>
        </w:rPr>
        <w:t xml:space="preserve">do 23. 1. 2017 </w:t>
      </w:r>
      <w:r w:rsidRPr="003E36B7">
        <w:rPr>
          <w:rFonts w:ascii="Arial" w:hAnsi="Arial" w:cs="Arial"/>
        </w:rPr>
        <w:t xml:space="preserve">kraje dvě žádosti, a to od </w:t>
      </w:r>
      <w:r>
        <w:rPr>
          <w:rFonts w:ascii="Arial" w:hAnsi="Arial" w:cs="Arial"/>
        </w:rPr>
        <w:t xml:space="preserve">Regionální rady regionu soudržnosti Střední Morava a od </w:t>
      </w:r>
      <w:r w:rsidRPr="003E36B7">
        <w:rPr>
          <w:rFonts w:ascii="Arial" w:hAnsi="Arial" w:cs="Arial"/>
        </w:rPr>
        <w:t>Regionální agentury pro rozvoj střední Moravy. O individuální dotaci lze žádat v případě, pokud na daný účel nebyl vypsán žádný dotační program (nebo vhodný dotační program je již uzavřen) a Olomoucký kraj nepředpokládá v daném kalendářním roce vyhlášení dotačního programu s vyhovujícím účelem. O udělení dotace rozhodne příslušný orgán Olomouckého kraje</w:t>
      </w:r>
      <w:r w:rsidR="003F68B6">
        <w:rPr>
          <w:rFonts w:ascii="Arial" w:hAnsi="Arial" w:cs="Arial"/>
        </w:rPr>
        <w:t>.</w:t>
      </w:r>
    </w:p>
    <w:p w:rsidR="00323DCD" w:rsidRPr="009366DC" w:rsidRDefault="00323DCD" w:rsidP="00A115FA">
      <w:pPr>
        <w:pStyle w:val="Plohy"/>
        <w:numPr>
          <w:ilvl w:val="0"/>
          <w:numId w:val="12"/>
        </w:numPr>
      </w:pPr>
      <w:r>
        <w:t>Regionální rada regionu soudržnosti Střední Morava</w:t>
      </w:r>
    </w:p>
    <w:p w:rsidR="00323DCD" w:rsidRDefault="00323DCD" w:rsidP="00323DCD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Žadatel </w:t>
      </w:r>
      <w:r w:rsidRPr="00323DCD">
        <w:rPr>
          <w:rFonts w:ascii="Arial" w:hAnsi="Arial" w:cs="Arial"/>
          <w:sz w:val="24"/>
          <w:szCs w:val="24"/>
        </w:rPr>
        <w:t>Regionální rada regionu soudržnosti Střední Morava</w:t>
      </w:r>
      <w:r>
        <w:rPr>
          <w:rFonts w:ascii="Arial" w:hAnsi="Arial" w:cs="Arial"/>
          <w:sz w:val="24"/>
          <w:szCs w:val="24"/>
        </w:rPr>
        <w:t xml:space="preserve">, </w:t>
      </w:r>
      <w:r w:rsidRPr="00323DCD">
        <w:rPr>
          <w:rFonts w:ascii="Arial" w:hAnsi="Arial" w:cs="Arial"/>
          <w:sz w:val="24"/>
          <w:szCs w:val="24"/>
        </w:rPr>
        <w:t>Jeremenkova</w:t>
      </w:r>
      <w:r>
        <w:rPr>
          <w:rFonts w:ascii="Arial" w:hAnsi="Arial" w:cs="Arial"/>
          <w:sz w:val="24"/>
          <w:szCs w:val="24"/>
        </w:rPr>
        <w:t xml:space="preserve"> 40b, 779 00 Olomouc, IČ: 75084911, žádá o finanční dotaci n</w:t>
      </w:r>
      <w:r w:rsidR="00817279" w:rsidRPr="00817279">
        <w:rPr>
          <w:rFonts w:ascii="Arial" w:hAnsi="Arial" w:cs="Arial"/>
          <w:sz w:val="24"/>
          <w:szCs w:val="24"/>
        </w:rPr>
        <w:t>a financování tvorby sociálního fondu a financování nezpůsobilých výdajů z Operačního programu Technická pomoc</w:t>
      </w:r>
      <w:r w:rsidR="00A115FA">
        <w:rPr>
          <w:rFonts w:ascii="Arial" w:hAnsi="Arial" w:cs="Arial"/>
          <w:sz w:val="24"/>
          <w:szCs w:val="24"/>
        </w:rPr>
        <w:t xml:space="preserve"> (dále OPTP)</w:t>
      </w:r>
      <w:r>
        <w:rPr>
          <w:rFonts w:ascii="Arial" w:hAnsi="Arial" w:cs="Arial"/>
          <w:sz w:val="24"/>
          <w:szCs w:val="24"/>
        </w:rPr>
        <w:t xml:space="preserve">. Celkové náklady na realizaci </w:t>
      </w:r>
      <w:r w:rsidR="00A115FA">
        <w:rPr>
          <w:rFonts w:ascii="Arial" w:hAnsi="Arial" w:cs="Arial"/>
          <w:sz w:val="24"/>
          <w:szCs w:val="24"/>
        </w:rPr>
        <w:t xml:space="preserve">v roce 2017 </w:t>
      </w:r>
      <w:r>
        <w:rPr>
          <w:rFonts w:ascii="Arial" w:hAnsi="Arial" w:cs="Arial"/>
          <w:sz w:val="24"/>
          <w:szCs w:val="24"/>
        </w:rPr>
        <w:t xml:space="preserve">budou dle žádosti o dotaci </w:t>
      </w:r>
      <w:r w:rsidR="00817279">
        <w:rPr>
          <w:rFonts w:ascii="Arial" w:hAnsi="Arial" w:cs="Arial"/>
          <w:sz w:val="24"/>
          <w:szCs w:val="24"/>
        </w:rPr>
        <w:t>700</w:t>
      </w:r>
      <w:r>
        <w:rPr>
          <w:rFonts w:ascii="Arial" w:hAnsi="Arial" w:cs="Arial"/>
          <w:sz w:val="24"/>
          <w:szCs w:val="24"/>
        </w:rPr>
        <w:t> </w:t>
      </w:r>
      <w:r w:rsidR="00817279">
        <w:rPr>
          <w:rFonts w:ascii="Arial" w:hAnsi="Arial" w:cs="Arial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Kč. </w:t>
      </w:r>
    </w:p>
    <w:p w:rsidR="00817279" w:rsidRPr="00817279" w:rsidRDefault="00817279" w:rsidP="0081727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323DCD">
        <w:rPr>
          <w:rFonts w:ascii="Arial" w:hAnsi="Arial" w:cs="Arial"/>
          <w:sz w:val="24"/>
          <w:szCs w:val="24"/>
        </w:rPr>
        <w:t>Regionální rada regionu soudržnosti Střední Morava</w:t>
      </w:r>
      <w:r>
        <w:rPr>
          <w:rFonts w:ascii="Arial" w:hAnsi="Arial" w:cs="Arial"/>
          <w:sz w:val="24"/>
          <w:szCs w:val="24"/>
        </w:rPr>
        <w:t xml:space="preserve"> </w:t>
      </w:r>
      <w:r w:rsidR="00323DCD">
        <w:rPr>
          <w:rFonts w:ascii="Arial" w:hAnsi="Arial" w:cs="Arial"/>
          <w:sz w:val="24"/>
          <w:szCs w:val="24"/>
        </w:rPr>
        <w:t>žádá Olomoucký kraj o podporu tohoto v celkové výši 3</w:t>
      </w:r>
      <w:r>
        <w:rPr>
          <w:rFonts w:ascii="Arial" w:hAnsi="Arial" w:cs="Arial"/>
          <w:sz w:val="24"/>
          <w:szCs w:val="24"/>
        </w:rPr>
        <w:t>5</w:t>
      </w:r>
      <w:r w:rsidR="00323DCD">
        <w:rPr>
          <w:rFonts w:ascii="Arial" w:hAnsi="Arial" w:cs="Arial"/>
          <w:sz w:val="24"/>
          <w:szCs w:val="24"/>
        </w:rPr>
        <w:t xml:space="preserve">0 000 Kč. </w:t>
      </w:r>
      <w:r w:rsidRPr="00817279">
        <w:rPr>
          <w:rFonts w:ascii="Arial" w:hAnsi="Arial" w:cs="Arial"/>
          <w:sz w:val="24"/>
          <w:szCs w:val="24"/>
        </w:rPr>
        <w:t>Konkrétní vymezení účelu dotace dle žádosti o dotaci:</w:t>
      </w:r>
    </w:p>
    <w:p w:rsidR="00817279" w:rsidRPr="00817279" w:rsidRDefault="00817279" w:rsidP="0081727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17279">
        <w:rPr>
          <w:rFonts w:ascii="Arial" w:hAnsi="Arial" w:cs="Arial"/>
          <w:sz w:val="24"/>
          <w:szCs w:val="24"/>
        </w:rPr>
        <w:t>Tvorba sociálního fondu: 3 % z vyplacených mezd - 460 tis. Kč</w:t>
      </w:r>
    </w:p>
    <w:p w:rsidR="00817279" w:rsidRPr="00817279" w:rsidRDefault="00817279" w:rsidP="0081727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17279">
        <w:rPr>
          <w:rFonts w:ascii="Arial" w:hAnsi="Arial" w:cs="Arial"/>
          <w:sz w:val="24"/>
          <w:szCs w:val="24"/>
        </w:rPr>
        <w:t>Neuznatelné výdaje z OPTP</w:t>
      </w:r>
      <w:r w:rsidR="00D721B2">
        <w:rPr>
          <w:rFonts w:ascii="Arial" w:hAnsi="Arial" w:cs="Arial"/>
          <w:sz w:val="24"/>
          <w:szCs w:val="24"/>
        </w:rPr>
        <w:t xml:space="preserve"> např.</w:t>
      </w:r>
      <w:r w:rsidRPr="00817279">
        <w:rPr>
          <w:rFonts w:ascii="Arial" w:hAnsi="Arial" w:cs="Arial"/>
          <w:sz w:val="24"/>
          <w:szCs w:val="24"/>
        </w:rPr>
        <w:t>:</w:t>
      </w:r>
    </w:p>
    <w:p w:rsidR="00817279" w:rsidRPr="00817279" w:rsidRDefault="00D721B2" w:rsidP="00817279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krácení výdajů za</w:t>
      </w:r>
      <w:r w:rsidR="00817279" w:rsidRPr="00817279">
        <w:rPr>
          <w:rFonts w:ascii="Arial" w:hAnsi="Arial" w:cs="Arial"/>
          <w:sz w:val="24"/>
          <w:szCs w:val="24"/>
        </w:rPr>
        <w:t xml:space="preserve"> </w:t>
      </w:r>
      <w:r w:rsidR="00D5721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konomický</w:t>
      </w:r>
      <w:r w:rsidR="00D57212">
        <w:rPr>
          <w:rFonts w:ascii="Arial" w:hAnsi="Arial" w:cs="Arial"/>
          <w:sz w:val="24"/>
          <w:szCs w:val="24"/>
        </w:rPr>
        <w:t xml:space="preserve"> informační systém </w:t>
      </w:r>
      <w:r w:rsidR="00817279" w:rsidRPr="00817279">
        <w:rPr>
          <w:rFonts w:ascii="Arial" w:hAnsi="Arial" w:cs="Arial"/>
          <w:sz w:val="24"/>
          <w:szCs w:val="24"/>
        </w:rPr>
        <w:t>Ginis - 150 tis. Kč;</w:t>
      </w:r>
    </w:p>
    <w:p w:rsidR="00817279" w:rsidRPr="00817279" w:rsidRDefault="00817279" w:rsidP="00817279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817279">
        <w:rPr>
          <w:rFonts w:ascii="Arial" w:hAnsi="Arial" w:cs="Arial"/>
          <w:sz w:val="24"/>
          <w:szCs w:val="24"/>
        </w:rPr>
        <w:t>odvod za neplnění povinnosti zaměstnávat zdrav. znevýhodněné osoby - 90 tis. Kč.</w:t>
      </w:r>
    </w:p>
    <w:p w:rsidR="00817279" w:rsidRPr="00817279" w:rsidRDefault="00817279" w:rsidP="0081727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17279">
        <w:rPr>
          <w:rFonts w:ascii="Arial" w:hAnsi="Arial" w:cs="Arial"/>
          <w:sz w:val="24"/>
          <w:szCs w:val="24"/>
        </w:rPr>
        <w:t>Celkem 700 000 Kč (O</w:t>
      </w:r>
      <w:r>
        <w:rPr>
          <w:rFonts w:ascii="Arial" w:hAnsi="Arial" w:cs="Arial"/>
          <w:sz w:val="24"/>
          <w:szCs w:val="24"/>
        </w:rPr>
        <w:t>lomoucký kraj –</w:t>
      </w:r>
      <w:r w:rsidRPr="00817279">
        <w:rPr>
          <w:rFonts w:ascii="Arial" w:hAnsi="Arial" w:cs="Arial"/>
          <w:sz w:val="24"/>
          <w:szCs w:val="24"/>
        </w:rPr>
        <w:t xml:space="preserve"> 350</w:t>
      </w:r>
      <w:r>
        <w:rPr>
          <w:rFonts w:ascii="Arial" w:hAnsi="Arial" w:cs="Arial"/>
          <w:sz w:val="24"/>
          <w:szCs w:val="24"/>
        </w:rPr>
        <w:t> 000</w:t>
      </w:r>
      <w:r w:rsidRPr="00817279">
        <w:rPr>
          <w:rFonts w:ascii="Arial" w:hAnsi="Arial" w:cs="Arial"/>
          <w:sz w:val="24"/>
          <w:szCs w:val="24"/>
        </w:rPr>
        <w:t xml:space="preserve"> Kč, Z</w:t>
      </w:r>
      <w:r>
        <w:rPr>
          <w:rFonts w:ascii="Arial" w:hAnsi="Arial" w:cs="Arial"/>
          <w:sz w:val="24"/>
          <w:szCs w:val="24"/>
        </w:rPr>
        <w:t>línský kraj</w:t>
      </w:r>
      <w:r w:rsidRPr="008172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817279">
        <w:rPr>
          <w:rFonts w:ascii="Arial" w:hAnsi="Arial" w:cs="Arial"/>
          <w:sz w:val="24"/>
          <w:szCs w:val="24"/>
        </w:rPr>
        <w:t xml:space="preserve"> 350</w:t>
      </w:r>
      <w:r>
        <w:rPr>
          <w:rFonts w:ascii="Arial" w:hAnsi="Arial" w:cs="Arial"/>
          <w:sz w:val="24"/>
          <w:szCs w:val="24"/>
        </w:rPr>
        <w:t> 000 </w:t>
      </w:r>
      <w:r w:rsidRPr="00817279">
        <w:rPr>
          <w:rFonts w:ascii="Arial" w:hAnsi="Arial" w:cs="Arial"/>
          <w:sz w:val="24"/>
          <w:szCs w:val="24"/>
        </w:rPr>
        <w:t>Kč).</w:t>
      </w:r>
    </w:p>
    <w:p w:rsidR="00587CAC" w:rsidRDefault="00587CAC" w:rsidP="00323DCD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letech 2013 až 2016 byla úhrada sociálního fondu a dalších nezpůsobilých nákladů OPTP řešena dlouhodobou smlouvou o zajištění financování mezi Olomouckým krajem a Regionální radou regionu soudržnosti Střední Morava. Olomoucký kraj poskytoval na tento účel financování ve výši 400 000 Kč ročně.</w:t>
      </w:r>
    </w:p>
    <w:p w:rsidR="00323DCD" w:rsidRDefault="00323DCD" w:rsidP="00323DC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87BBF">
        <w:rPr>
          <w:rFonts w:ascii="Arial" w:hAnsi="Arial" w:cs="Arial"/>
          <w:sz w:val="24"/>
          <w:szCs w:val="24"/>
        </w:rPr>
        <w:t>Na účel uvedený v</w:t>
      </w:r>
      <w:r w:rsidR="00587CAC">
        <w:rPr>
          <w:rFonts w:ascii="Arial" w:hAnsi="Arial" w:cs="Arial"/>
          <w:sz w:val="24"/>
          <w:szCs w:val="24"/>
        </w:rPr>
        <w:t> </w:t>
      </w:r>
      <w:r w:rsidRPr="00487BBF">
        <w:rPr>
          <w:rFonts w:ascii="Arial" w:hAnsi="Arial" w:cs="Arial"/>
          <w:sz w:val="24"/>
          <w:szCs w:val="24"/>
        </w:rPr>
        <w:t xml:space="preserve">individuální žádosti </w:t>
      </w:r>
      <w:r w:rsidR="00817279">
        <w:rPr>
          <w:rFonts w:ascii="Arial" w:hAnsi="Arial" w:cs="Arial"/>
          <w:sz w:val="24"/>
          <w:szCs w:val="24"/>
        </w:rPr>
        <w:t>regionální rady</w:t>
      </w:r>
      <w:r w:rsidRPr="00487BBF">
        <w:rPr>
          <w:rFonts w:ascii="Arial" w:hAnsi="Arial" w:cs="Arial"/>
          <w:sz w:val="24"/>
          <w:szCs w:val="24"/>
        </w:rPr>
        <w:t xml:space="preserve"> nejsou v</w:t>
      </w:r>
      <w:r w:rsidR="00587CAC">
        <w:rPr>
          <w:rFonts w:ascii="Arial" w:hAnsi="Arial" w:cs="Arial"/>
          <w:sz w:val="24"/>
          <w:szCs w:val="24"/>
        </w:rPr>
        <w:t> </w:t>
      </w:r>
      <w:r w:rsidRPr="00487BBF">
        <w:rPr>
          <w:rFonts w:ascii="Arial" w:hAnsi="Arial" w:cs="Arial"/>
          <w:sz w:val="24"/>
          <w:szCs w:val="24"/>
        </w:rPr>
        <w:t>rozpočtu Olomouckého kraje vyčleněny finanční prostředky.</w:t>
      </w:r>
      <w:r>
        <w:rPr>
          <w:rFonts w:ascii="Arial" w:hAnsi="Arial" w:cs="Arial"/>
          <w:sz w:val="24"/>
          <w:szCs w:val="24"/>
        </w:rPr>
        <w:t xml:space="preserve"> </w:t>
      </w:r>
      <w:r w:rsidR="00817279" w:rsidRPr="00817279">
        <w:rPr>
          <w:rFonts w:ascii="Arial" w:hAnsi="Arial" w:cs="Arial"/>
          <w:sz w:val="24"/>
          <w:szCs w:val="24"/>
        </w:rPr>
        <w:t xml:space="preserve">Olomoucký kraj neměl </w:t>
      </w:r>
      <w:r w:rsidR="00A115FA">
        <w:rPr>
          <w:rFonts w:ascii="Arial" w:hAnsi="Arial" w:cs="Arial"/>
          <w:sz w:val="24"/>
          <w:szCs w:val="24"/>
        </w:rPr>
        <w:t>ani nepřipravuje v</w:t>
      </w:r>
      <w:r w:rsidR="00587CAC">
        <w:rPr>
          <w:rFonts w:ascii="Arial" w:hAnsi="Arial" w:cs="Arial"/>
          <w:sz w:val="24"/>
          <w:szCs w:val="24"/>
        </w:rPr>
        <w:t> </w:t>
      </w:r>
      <w:r w:rsidR="00A115FA">
        <w:rPr>
          <w:rFonts w:ascii="Arial" w:hAnsi="Arial" w:cs="Arial"/>
          <w:sz w:val="24"/>
          <w:szCs w:val="24"/>
        </w:rPr>
        <w:t xml:space="preserve">roce 2017 </w:t>
      </w:r>
      <w:r w:rsidR="00817279" w:rsidRPr="00817279">
        <w:rPr>
          <w:rFonts w:ascii="Arial" w:hAnsi="Arial" w:cs="Arial"/>
          <w:sz w:val="24"/>
          <w:szCs w:val="24"/>
        </w:rPr>
        <w:t>vyps</w:t>
      </w:r>
      <w:r w:rsidR="00A115FA">
        <w:rPr>
          <w:rFonts w:ascii="Arial" w:hAnsi="Arial" w:cs="Arial"/>
          <w:sz w:val="24"/>
          <w:szCs w:val="24"/>
        </w:rPr>
        <w:t>at</w:t>
      </w:r>
      <w:r w:rsidR="00817279" w:rsidRPr="00817279">
        <w:rPr>
          <w:rFonts w:ascii="Arial" w:hAnsi="Arial" w:cs="Arial"/>
          <w:sz w:val="24"/>
          <w:szCs w:val="24"/>
        </w:rPr>
        <w:t xml:space="preserve"> vhodný dotační titul, v</w:t>
      </w:r>
      <w:r w:rsidR="00587CAC">
        <w:rPr>
          <w:rFonts w:ascii="Arial" w:hAnsi="Arial" w:cs="Arial"/>
          <w:sz w:val="24"/>
          <w:szCs w:val="24"/>
        </w:rPr>
        <w:t> </w:t>
      </w:r>
      <w:r w:rsidR="00817279" w:rsidRPr="00817279">
        <w:rPr>
          <w:rFonts w:ascii="Arial" w:hAnsi="Arial" w:cs="Arial"/>
          <w:sz w:val="24"/>
          <w:szCs w:val="24"/>
        </w:rPr>
        <w:t>rámci něhož by mohla rada požádat o tuto dotaci.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23DCD" w:rsidRDefault="00323DCD" w:rsidP="00323DCD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Žádost byla projednána </w:t>
      </w:r>
      <w:r w:rsidR="001560C9">
        <w:rPr>
          <w:rFonts w:ascii="Arial" w:hAnsi="Arial" w:cs="Arial"/>
          <w:sz w:val="24"/>
          <w:szCs w:val="24"/>
        </w:rPr>
        <w:t xml:space="preserve">Radou </w:t>
      </w:r>
      <w:r>
        <w:rPr>
          <w:rFonts w:ascii="Arial" w:hAnsi="Arial" w:cs="Arial"/>
          <w:sz w:val="24"/>
          <w:szCs w:val="24"/>
        </w:rPr>
        <w:t>Olomouckého kraje</w:t>
      </w:r>
      <w:r w:rsidR="001560C9">
        <w:rPr>
          <w:rFonts w:ascii="Arial" w:hAnsi="Arial" w:cs="Arial"/>
          <w:sz w:val="24"/>
          <w:szCs w:val="24"/>
        </w:rPr>
        <w:t>, která svým usnesením č. </w:t>
      </w:r>
      <w:r w:rsidR="001560C9" w:rsidRPr="001560C9">
        <w:rPr>
          <w:rFonts w:ascii="Arial" w:hAnsi="Arial" w:cs="Arial"/>
          <w:sz w:val="24"/>
          <w:szCs w:val="24"/>
        </w:rPr>
        <w:t>UR/8/32/2017</w:t>
      </w:r>
      <w:r w:rsidR="001560C9">
        <w:rPr>
          <w:rFonts w:ascii="Arial" w:hAnsi="Arial" w:cs="Arial"/>
          <w:sz w:val="24"/>
          <w:szCs w:val="24"/>
        </w:rPr>
        <w:t xml:space="preserve"> ze</w:t>
      </w:r>
      <w:r>
        <w:rPr>
          <w:rFonts w:ascii="Arial" w:hAnsi="Arial" w:cs="Arial"/>
          <w:sz w:val="24"/>
          <w:szCs w:val="24"/>
        </w:rPr>
        <w:t xml:space="preserve"> dne </w:t>
      </w:r>
      <w:r w:rsidR="001560C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 </w:t>
      </w:r>
      <w:r w:rsidR="001560C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 201</w:t>
      </w:r>
      <w:r w:rsidR="00817279">
        <w:rPr>
          <w:rFonts w:ascii="Arial" w:hAnsi="Arial" w:cs="Arial"/>
          <w:sz w:val="24"/>
          <w:szCs w:val="24"/>
        </w:rPr>
        <w:t>7</w:t>
      </w:r>
      <w:r w:rsidR="001560C9">
        <w:rPr>
          <w:rFonts w:ascii="Arial" w:hAnsi="Arial" w:cs="Arial"/>
          <w:sz w:val="24"/>
          <w:szCs w:val="24"/>
        </w:rPr>
        <w:t xml:space="preserve"> doporučila</w:t>
      </w:r>
      <w:r w:rsidRPr="007430E1">
        <w:rPr>
          <w:rFonts w:ascii="Arial" w:hAnsi="Arial" w:cs="Arial"/>
          <w:sz w:val="24"/>
          <w:szCs w:val="24"/>
        </w:rPr>
        <w:t xml:space="preserve"> </w:t>
      </w:r>
      <w:r w:rsidRPr="007430E1">
        <w:rPr>
          <w:rFonts w:ascii="Arial" w:hAnsi="Arial" w:cs="Arial"/>
          <w:b/>
          <w:sz w:val="24"/>
          <w:szCs w:val="24"/>
        </w:rPr>
        <w:t>vyhovět</w:t>
      </w:r>
      <w:r w:rsidRPr="007430E1">
        <w:rPr>
          <w:rFonts w:ascii="Arial" w:hAnsi="Arial" w:cs="Arial"/>
          <w:sz w:val="24"/>
          <w:szCs w:val="24"/>
        </w:rPr>
        <w:t xml:space="preserve"> žadateli </w:t>
      </w:r>
      <w:r w:rsidR="00D60D34" w:rsidRPr="007430E1">
        <w:rPr>
          <w:rFonts w:ascii="Arial" w:hAnsi="Arial" w:cs="Arial"/>
          <w:sz w:val="24"/>
          <w:szCs w:val="24"/>
        </w:rPr>
        <w:t>Regionální</w:t>
      </w:r>
      <w:r w:rsidR="00D60D34" w:rsidRPr="00D60D34">
        <w:rPr>
          <w:rFonts w:ascii="Arial" w:hAnsi="Arial" w:cs="Arial"/>
          <w:sz w:val="24"/>
          <w:szCs w:val="24"/>
        </w:rPr>
        <w:t xml:space="preserve"> rad</w:t>
      </w:r>
      <w:r w:rsidR="00D60D34">
        <w:rPr>
          <w:rFonts w:ascii="Arial" w:hAnsi="Arial" w:cs="Arial"/>
          <w:sz w:val="24"/>
          <w:szCs w:val="24"/>
        </w:rPr>
        <w:t>ě</w:t>
      </w:r>
      <w:r w:rsidR="00D60D34" w:rsidRPr="00D60D34">
        <w:rPr>
          <w:rFonts w:ascii="Arial" w:hAnsi="Arial" w:cs="Arial"/>
          <w:sz w:val="24"/>
          <w:szCs w:val="24"/>
        </w:rPr>
        <w:t xml:space="preserve"> regionu soudržnosti Střední Morava</w:t>
      </w:r>
      <w:r w:rsidR="00D60D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 poskytnutí individuální dotace z</w:t>
      </w:r>
      <w:r w:rsidR="00587CA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rozpočtu kraje na </w:t>
      </w:r>
      <w:r w:rsidR="00D60D34" w:rsidRPr="00817279">
        <w:rPr>
          <w:rFonts w:ascii="Arial" w:hAnsi="Arial" w:cs="Arial"/>
          <w:sz w:val="24"/>
          <w:szCs w:val="24"/>
        </w:rPr>
        <w:t>financování tvorby sociálního fondu a financování nezpůsobilých výdajů z</w:t>
      </w:r>
      <w:r w:rsidR="00587CAC">
        <w:rPr>
          <w:rFonts w:ascii="Arial" w:hAnsi="Arial" w:cs="Arial"/>
          <w:sz w:val="24"/>
          <w:szCs w:val="24"/>
        </w:rPr>
        <w:t> </w:t>
      </w:r>
      <w:r w:rsidR="00D60D34" w:rsidRPr="00817279">
        <w:rPr>
          <w:rFonts w:ascii="Arial" w:hAnsi="Arial" w:cs="Arial"/>
          <w:sz w:val="24"/>
          <w:szCs w:val="24"/>
        </w:rPr>
        <w:t>Operačního programu Technická pomoc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23DCD" w:rsidRDefault="00323DCD" w:rsidP="00323DCD">
      <w:pPr>
        <w:pStyle w:val="Plohy"/>
      </w:pPr>
      <w:r>
        <w:t>Žádost o poskytnutí dotace bude projednána v</w:t>
      </w:r>
      <w:r w:rsidR="00817279">
        <w:t>e</w:t>
      </w:r>
      <w:r w:rsidR="00D60D34">
        <w:t xml:space="preserve"> </w:t>
      </w:r>
      <w:r w:rsidR="00817279">
        <w:t>Výboru regionálního rozvoje Zastupitelstva</w:t>
      </w:r>
      <w:r>
        <w:t xml:space="preserve"> Olomouckého kraje dne </w:t>
      </w:r>
      <w:r w:rsidR="00E5003B">
        <w:t>16</w:t>
      </w:r>
      <w:r>
        <w:t>.</w:t>
      </w:r>
      <w:r w:rsidR="00817279">
        <w:t> </w:t>
      </w:r>
      <w:r w:rsidR="00E5003B">
        <w:t>2</w:t>
      </w:r>
      <w:r>
        <w:t>. 201</w:t>
      </w:r>
      <w:r w:rsidR="00817279">
        <w:t>7</w:t>
      </w:r>
      <w:r>
        <w:t>.</w:t>
      </w:r>
      <w:r w:rsidR="00D60D34" w:rsidRPr="00D60D34">
        <w:rPr>
          <w:rFonts w:cs="Arial"/>
          <w:szCs w:val="24"/>
        </w:rPr>
        <w:t xml:space="preserve"> </w:t>
      </w:r>
      <w:r w:rsidR="00D60D34" w:rsidRPr="008035A7">
        <w:rPr>
          <w:rFonts w:cs="Arial"/>
          <w:szCs w:val="24"/>
        </w:rPr>
        <w:t>Doporučení výboru proto bude ústně tlumočeno přímo na jednání Zastupitelstva Olomouckého kraje.</w:t>
      </w:r>
    </w:p>
    <w:p w:rsidR="00587CAC" w:rsidRDefault="00817279" w:rsidP="00323DC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17279">
        <w:rPr>
          <w:rFonts w:ascii="Arial" w:hAnsi="Arial" w:cs="Arial"/>
          <w:sz w:val="24"/>
          <w:szCs w:val="24"/>
        </w:rPr>
        <w:t>Protože žadatel požádal o dotaci, která překračuje hranici 200 tis. Kč, je rozhodnutí o poskytnutí, či ne</w:t>
      </w:r>
      <w:r>
        <w:rPr>
          <w:rFonts w:ascii="Arial" w:hAnsi="Arial" w:cs="Arial"/>
          <w:sz w:val="24"/>
          <w:szCs w:val="24"/>
        </w:rPr>
        <w:t>poskytnutí dotace dle zákona č. </w:t>
      </w:r>
      <w:r w:rsidRPr="00817279">
        <w:rPr>
          <w:rFonts w:ascii="Arial" w:hAnsi="Arial" w:cs="Arial"/>
          <w:sz w:val="24"/>
          <w:szCs w:val="24"/>
        </w:rPr>
        <w:t>250/2000 Sb., o rozpočtových pravidlech územních rozpočtů, a dle zákona č. 129/2000 Sb., o krajích, v</w:t>
      </w:r>
      <w:r w:rsidR="00587CAC">
        <w:rPr>
          <w:rFonts w:ascii="Arial" w:hAnsi="Arial" w:cs="Arial"/>
          <w:sz w:val="24"/>
          <w:szCs w:val="24"/>
        </w:rPr>
        <w:t> </w:t>
      </w:r>
      <w:r w:rsidRPr="00817279">
        <w:rPr>
          <w:rFonts w:ascii="Arial" w:hAnsi="Arial" w:cs="Arial"/>
          <w:sz w:val="24"/>
          <w:szCs w:val="24"/>
        </w:rPr>
        <w:t>kompetenci Zastupitelstva Olomouckého kraje.</w:t>
      </w:r>
      <w:r w:rsidR="00323DCD">
        <w:rPr>
          <w:rFonts w:ascii="Arial" w:hAnsi="Arial" w:cs="Arial"/>
          <w:sz w:val="24"/>
          <w:szCs w:val="24"/>
        </w:rPr>
        <w:t xml:space="preserve"> </w:t>
      </w:r>
    </w:p>
    <w:p w:rsidR="00587CAC" w:rsidRDefault="00587CAC">
      <w:pPr>
        <w:rPr>
          <w:rFonts w:ascii="Arial" w:hAnsi="Arial" w:cs="Arial"/>
          <w:sz w:val="24"/>
          <w:szCs w:val="24"/>
        </w:rPr>
      </w:pPr>
    </w:p>
    <w:p w:rsidR="0054674A" w:rsidRDefault="0054674A" w:rsidP="0054674A">
      <w:pPr>
        <w:pStyle w:val="Plohy"/>
        <w:numPr>
          <w:ilvl w:val="0"/>
          <w:numId w:val="12"/>
        </w:numPr>
      </w:pPr>
      <w:r>
        <w:t>Regionální agentura pro rozvoj střední Moravy</w:t>
      </w:r>
    </w:p>
    <w:p w:rsidR="002566E2" w:rsidRDefault="002566E2" w:rsidP="0054674A">
      <w:pPr>
        <w:pStyle w:val="Plohy"/>
        <w:rPr>
          <w:rFonts w:cs="Arial"/>
          <w:szCs w:val="24"/>
        </w:rPr>
      </w:pPr>
      <w:r>
        <w:rPr>
          <w:rFonts w:cs="Arial"/>
          <w:szCs w:val="24"/>
        </w:rPr>
        <w:t xml:space="preserve">Žadatel </w:t>
      </w:r>
      <w:r w:rsidR="0054674A" w:rsidRPr="008035A7">
        <w:rPr>
          <w:rFonts w:cs="Arial"/>
          <w:szCs w:val="24"/>
        </w:rPr>
        <w:t>Regionální agentur</w:t>
      </w:r>
      <w:r>
        <w:rPr>
          <w:rFonts w:cs="Arial"/>
          <w:szCs w:val="24"/>
        </w:rPr>
        <w:t>a</w:t>
      </w:r>
      <w:r w:rsidR="0054674A" w:rsidRPr="008035A7">
        <w:rPr>
          <w:rFonts w:cs="Arial"/>
          <w:szCs w:val="24"/>
        </w:rPr>
        <w:t xml:space="preserve"> pro rozvoj střední Moravy (dále jen RARSM), </w:t>
      </w:r>
      <w:r>
        <w:rPr>
          <w:rFonts w:cs="Arial"/>
          <w:szCs w:val="24"/>
        </w:rPr>
        <w:t>Horní náměstí 5, 779 00 Olomouc, IČ: 646</w:t>
      </w:r>
      <w:r w:rsidR="005E1D7E">
        <w:rPr>
          <w:rFonts w:cs="Arial"/>
          <w:szCs w:val="24"/>
        </w:rPr>
        <w:t xml:space="preserve">31109, </w:t>
      </w:r>
      <w:r w:rsidR="006A2989">
        <w:rPr>
          <w:rFonts w:cs="Arial"/>
          <w:szCs w:val="24"/>
        </w:rPr>
        <w:t xml:space="preserve">žádá o finanční dotaci na </w:t>
      </w:r>
      <w:r w:rsidR="006A2989">
        <w:rPr>
          <w:rFonts w:cs="Arial"/>
        </w:rPr>
        <w:t>celoroční činnost směřující k plnění rozvojových úkolů Olomouckého kraje.</w:t>
      </w:r>
      <w:r w:rsidR="006A2989" w:rsidRPr="006A2989">
        <w:rPr>
          <w:rFonts w:cs="Arial"/>
        </w:rPr>
        <w:t xml:space="preserve"> </w:t>
      </w:r>
      <w:r w:rsidR="006A2989">
        <w:rPr>
          <w:rFonts w:cs="Arial"/>
        </w:rPr>
        <w:t>Celkové náklady na realizaci budou dle žádosti o dotaci 3 000 000 Kč.</w:t>
      </w:r>
      <w:r w:rsidR="00BD1C7C">
        <w:rPr>
          <w:rFonts w:cs="Arial"/>
        </w:rPr>
        <w:t xml:space="preserve"> RARSM podala dvě žádosti, jedna (nevyplněná) </w:t>
      </w:r>
      <w:r w:rsidR="00BD1C7C">
        <w:rPr>
          <w:rFonts w:cs="Arial"/>
        </w:rPr>
        <w:lastRenderedPageBreak/>
        <w:t>byla stornována.</w:t>
      </w:r>
    </w:p>
    <w:p w:rsidR="006A2989" w:rsidRDefault="006A2989" w:rsidP="00D60D34">
      <w:pPr>
        <w:pStyle w:val="Plohy"/>
        <w:rPr>
          <w:rFonts w:cs="Arial"/>
        </w:rPr>
      </w:pPr>
      <w:r>
        <w:rPr>
          <w:rFonts w:cs="Arial"/>
          <w:szCs w:val="24"/>
        </w:rPr>
        <w:t>RARSM žádá Olomoucký kraj o podporu tohoto projektu v celkové výši 1 500 000 Kč.</w:t>
      </w:r>
      <w:r w:rsidR="00D60D34">
        <w:rPr>
          <w:rFonts w:cs="Arial"/>
          <w:szCs w:val="24"/>
        </w:rPr>
        <w:t xml:space="preserve"> </w:t>
      </w:r>
      <w:r>
        <w:rPr>
          <w:rFonts w:cs="Arial"/>
        </w:rPr>
        <w:t>Konkrétní vymezení účelu dotace dle přílohy žádosti o dotaci:</w:t>
      </w:r>
    </w:p>
    <w:p w:rsidR="006A2989" w:rsidRDefault="006A2989" w:rsidP="006A2989">
      <w:pPr>
        <w:pStyle w:val="Zkladntextodsazen"/>
        <w:numPr>
          <w:ilvl w:val="0"/>
          <w:numId w:val="28"/>
        </w:numPr>
        <w:suppressAutoHyphens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poskytování poradenských služeb na území Olomouckého kraje pro obce, včetně svazků, ve kterých jsou zúčastněny obce a jejich zřízené a založené organizace, a neziskové organizace v oblasti přípravy a řízení projektů, při přípravě nemovitostí pro rozvoj podnikání, včetně vyhledávání vhodných finančních zdrojů,</w:t>
      </w:r>
    </w:p>
    <w:p w:rsidR="006A2989" w:rsidRDefault="006A2989" w:rsidP="006A2989">
      <w:pPr>
        <w:pStyle w:val="Zkladntextodsazen"/>
        <w:numPr>
          <w:ilvl w:val="0"/>
          <w:numId w:val="28"/>
        </w:numPr>
        <w:suppressAutoHyphens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pomoc při zpracování projektových žádostí nebo jejich částí, přípravě a realizaci zadávání veřejných zakázek pro obce, včetně svazků, ve kterých jsou zúčastněny obce a jejich zřízené a založené organizace, a neziskové organizace na území Olomouckého kraje,</w:t>
      </w:r>
    </w:p>
    <w:p w:rsidR="006A2989" w:rsidRDefault="006A2989" w:rsidP="006A2989">
      <w:pPr>
        <w:pStyle w:val="Zkladntextodsazen"/>
        <w:numPr>
          <w:ilvl w:val="0"/>
          <w:numId w:val="28"/>
        </w:numPr>
        <w:suppressAutoHyphens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přípravu a realizaci vzdělávacích a osvětových aktivit pro obce, včetně svazků, ve kterých jsou zúčastněny obce a jejich zřízené a založené organizace, a neziskové organizace na území Olomouckého kraje v oblasti projektového managementu, legislativních povinností nebo veřejných zakázek,</w:t>
      </w:r>
    </w:p>
    <w:p w:rsidR="006A2989" w:rsidRDefault="006A2989" w:rsidP="006A2989">
      <w:pPr>
        <w:pStyle w:val="Zkladntextodsazen"/>
        <w:numPr>
          <w:ilvl w:val="0"/>
          <w:numId w:val="28"/>
        </w:numPr>
        <w:suppressAutoHyphens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poradenství při startu podnikatelské činnosti a spolupráce při nalezení vhodných lokalit na území Olomouckého kraje,</w:t>
      </w:r>
    </w:p>
    <w:p w:rsidR="006A2989" w:rsidRDefault="006A2989" w:rsidP="006A2989">
      <w:pPr>
        <w:pStyle w:val="Zkladntextodsazen"/>
        <w:numPr>
          <w:ilvl w:val="0"/>
          <w:numId w:val="28"/>
        </w:numPr>
        <w:suppressAutoHyphens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vyhledávání, poradenství při přípravě, příprava a spolupráce na realizaci přeshraničních a mezinárodních projektů se zapojením subjektů z Olomouckého kraje, včetně jednání se zahraničními partnery.</w:t>
      </w:r>
    </w:p>
    <w:p w:rsidR="00587CAC" w:rsidRDefault="00587CAC">
      <w:pPr>
        <w:rPr>
          <w:rFonts w:ascii="Arial" w:hAnsi="Arial" w:cs="Arial"/>
          <w:noProof/>
          <w:sz w:val="24"/>
          <w:szCs w:val="24"/>
        </w:rPr>
      </w:pPr>
    </w:p>
    <w:p w:rsidR="0054674A" w:rsidRPr="008035A7" w:rsidRDefault="0054674A" w:rsidP="006A2989">
      <w:pPr>
        <w:pStyle w:val="Plohy"/>
        <w:rPr>
          <w:rFonts w:cs="Arial"/>
          <w:szCs w:val="24"/>
        </w:rPr>
      </w:pPr>
      <w:r w:rsidRPr="008035A7">
        <w:rPr>
          <w:rFonts w:cs="Arial"/>
          <w:szCs w:val="24"/>
        </w:rPr>
        <w:t>Olomoucký kraj dosud poskytl RARSM tyto neinvestiční dotace: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067"/>
      </w:tblGrid>
      <w:tr w:rsidR="0054674A" w:rsidRPr="008035A7" w:rsidTr="00AC2970">
        <w:trPr>
          <w:trHeight w:val="331"/>
          <w:tblHeader/>
          <w:jc w:val="center"/>
        </w:trPr>
        <w:tc>
          <w:tcPr>
            <w:tcW w:w="2324" w:type="dxa"/>
            <w:shd w:val="clear" w:color="auto" w:fill="auto"/>
          </w:tcPr>
          <w:p w:rsidR="0054674A" w:rsidRPr="008035A7" w:rsidRDefault="0054674A" w:rsidP="00AC2970">
            <w:pPr>
              <w:pStyle w:val="Plohy"/>
              <w:rPr>
                <w:rFonts w:cs="Arial"/>
                <w:szCs w:val="24"/>
              </w:rPr>
            </w:pPr>
            <w:r w:rsidRPr="008035A7">
              <w:rPr>
                <w:rFonts w:cs="Arial"/>
                <w:szCs w:val="24"/>
              </w:rPr>
              <w:t>Číslo usnesení</w:t>
            </w:r>
          </w:p>
        </w:tc>
        <w:tc>
          <w:tcPr>
            <w:tcW w:w="2324" w:type="dxa"/>
            <w:shd w:val="clear" w:color="auto" w:fill="auto"/>
          </w:tcPr>
          <w:p w:rsidR="0054674A" w:rsidRPr="008035A7" w:rsidRDefault="0054674A" w:rsidP="00AC2970">
            <w:pPr>
              <w:pStyle w:val="Plohy"/>
              <w:rPr>
                <w:rFonts w:cs="Arial"/>
                <w:szCs w:val="24"/>
              </w:rPr>
            </w:pPr>
            <w:r w:rsidRPr="008035A7">
              <w:rPr>
                <w:rFonts w:cs="Arial"/>
                <w:szCs w:val="24"/>
              </w:rPr>
              <w:t>Ze dne</w:t>
            </w:r>
          </w:p>
        </w:tc>
        <w:tc>
          <w:tcPr>
            <w:tcW w:w="2324" w:type="dxa"/>
            <w:shd w:val="clear" w:color="auto" w:fill="auto"/>
          </w:tcPr>
          <w:p w:rsidR="0054674A" w:rsidRPr="008035A7" w:rsidRDefault="0054674A" w:rsidP="00AC2970">
            <w:pPr>
              <w:pStyle w:val="Plohy"/>
              <w:rPr>
                <w:rFonts w:cs="Arial"/>
                <w:szCs w:val="24"/>
              </w:rPr>
            </w:pPr>
            <w:r w:rsidRPr="008035A7">
              <w:rPr>
                <w:rFonts w:cs="Arial"/>
                <w:szCs w:val="24"/>
              </w:rPr>
              <w:t>Pro rok</w:t>
            </w:r>
          </w:p>
        </w:tc>
        <w:tc>
          <w:tcPr>
            <w:tcW w:w="2067" w:type="dxa"/>
            <w:shd w:val="clear" w:color="auto" w:fill="auto"/>
          </w:tcPr>
          <w:p w:rsidR="0054674A" w:rsidRPr="008035A7" w:rsidRDefault="0054674A" w:rsidP="00AC2970">
            <w:pPr>
              <w:pStyle w:val="Plohy"/>
              <w:rPr>
                <w:rFonts w:cs="Arial"/>
                <w:szCs w:val="24"/>
              </w:rPr>
            </w:pPr>
            <w:r w:rsidRPr="008035A7">
              <w:rPr>
                <w:rFonts w:cs="Arial"/>
                <w:szCs w:val="24"/>
              </w:rPr>
              <w:t>Částka</w:t>
            </w:r>
          </w:p>
        </w:tc>
      </w:tr>
      <w:tr w:rsidR="0054674A" w:rsidRPr="008035A7" w:rsidTr="00AC2970">
        <w:trPr>
          <w:trHeight w:val="363"/>
          <w:jc w:val="center"/>
        </w:trPr>
        <w:tc>
          <w:tcPr>
            <w:tcW w:w="2324" w:type="dxa"/>
            <w:shd w:val="clear" w:color="auto" w:fill="auto"/>
          </w:tcPr>
          <w:p w:rsidR="0054674A" w:rsidRPr="008035A7" w:rsidRDefault="0054674A" w:rsidP="00AC2970">
            <w:pPr>
              <w:pStyle w:val="Plohy"/>
              <w:rPr>
                <w:rFonts w:cs="Arial"/>
                <w:szCs w:val="24"/>
              </w:rPr>
            </w:pPr>
            <w:r w:rsidRPr="008035A7">
              <w:rPr>
                <w:rFonts w:cs="Arial"/>
                <w:szCs w:val="24"/>
              </w:rPr>
              <w:t>UZ/18/50/2007</w:t>
            </w:r>
          </w:p>
        </w:tc>
        <w:tc>
          <w:tcPr>
            <w:tcW w:w="2324" w:type="dxa"/>
            <w:shd w:val="clear" w:color="auto" w:fill="auto"/>
          </w:tcPr>
          <w:p w:rsidR="0054674A" w:rsidRPr="008035A7" w:rsidRDefault="0054674A" w:rsidP="00AC2970">
            <w:pPr>
              <w:pStyle w:val="Plohy"/>
              <w:rPr>
                <w:rFonts w:cs="Arial"/>
                <w:szCs w:val="24"/>
              </w:rPr>
            </w:pPr>
            <w:r w:rsidRPr="008035A7">
              <w:rPr>
                <w:rFonts w:cs="Arial"/>
                <w:szCs w:val="24"/>
              </w:rPr>
              <w:t>22. 6. 2007</w:t>
            </w:r>
          </w:p>
        </w:tc>
        <w:tc>
          <w:tcPr>
            <w:tcW w:w="2324" w:type="dxa"/>
            <w:shd w:val="clear" w:color="auto" w:fill="auto"/>
          </w:tcPr>
          <w:p w:rsidR="0054674A" w:rsidRPr="008035A7" w:rsidRDefault="0054674A" w:rsidP="00AC2970">
            <w:pPr>
              <w:pStyle w:val="Plohy"/>
              <w:rPr>
                <w:rFonts w:cs="Arial"/>
                <w:szCs w:val="24"/>
              </w:rPr>
            </w:pPr>
            <w:r w:rsidRPr="008035A7">
              <w:rPr>
                <w:rFonts w:cs="Arial"/>
                <w:szCs w:val="24"/>
              </w:rPr>
              <w:t>2007</w:t>
            </w:r>
          </w:p>
        </w:tc>
        <w:tc>
          <w:tcPr>
            <w:tcW w:w="2067" w:type="dxa"/>
            <w:shd w:val="clear" w:color="auto" w:fill="auto"/>
          </w:tcPr>
          <w:p w:rsidR="0054674A" w:rsidRPr="008035A7" w:rsidRDefault="0054674A" w:rsidP="00AC2970">
            <w:pPr>
              <w:pStyle w:val="Plohy"/>
              <w:jc w:val="right"/>
              <w:rPr>
                <w:rFonts w:cs="Arial"/>
                <w:szCs w:val="24"/>
              </w:rPr>
            </w:pPr>
            <w:r w:rsidRPr="008035A7">
              <w:rPr>
                <w:rFonts w:cs="Arial"/>
                <w:szCs w:val="24"/>
              </w:rPr>
              <w:t>2 000 000,00 Kč</w:t>
            </w:r>
          </w:p>
        </w:tc>
      </w:tr>
      <w:tr w:rsidR="0054674A" w:rsidRPr="008035A7" w:rsidTr="00AC2970">
        <w:trPr>
          <w:trHeight w:val="394"/>
          <w:jc w:val="center"/>
        </w:trPr>
        <w:tc>
          <w:tcPr>
            <w:tcW w:w="2324" w:type="dxa"/>
            <w:shd w:val="clear" w:color="auto" w:fill="auto"/>
          </w:tcPr>
          <w:p w:rsidR="0054674A" w:rsidRPr="008035A7" w:rsidRDefault="0054674A" w:rsidP="00AC2970">
            <w:pPr>
              <w:pStyle w:val="Plohy"/>
              <w:rPr>
                <w:rFonts w:cs="Arial"/>
                <w:szCs w:val="24"/>
              </w:rPr>
            </w:pPr>
            <w:r w:rsidRPr="008035A7">
              <w:rPr>
                <w:rFonts w:cs="Arial"/>
                <w:szCs w:val="24"/>
              </w:rPr>
              <w:t>UZ/21/31/2008</w:t>
            </w:r>
          </w:p>
        </w:tc>
        <w:tc>
          <w:tcPr>
            <w:tcW w:w="2324" w:type="dxa"/>
            <w:shd w:val="clear" w:color="auto" w:fill="auto"/>
          </w:tcPr>
          <w:p w:rsidR="0054674A" w:rsidRPr="008035A7" w:rsidRDefault="0054674A" w:rsidP="00AC2970">
            <w:pPr>
              <w:pStyle w:val="Plohy"/>
              <w:rPr>
                <w:rFonts w:cs="Arial"/>
                <w:szCs w:val="24"/>
              </w:rPr>
            </w:pPr>
            <w:r w:rsidRPr="008035A7">
              <w:rPr>
                <w:rFonts w:cs="Arial"/>
                <w:szCs w:val="24"/>
              </w:rPr>
              <w:t>22. 2. 2008</w:t>
            </w:r>
          </w:p>
        </w:tc>
        <w:tc>
          <w:tcPr>
            <w:tcW w:w="2324" w:type="dxa"/>
            <w:shd w:val="clear" w:color="auto" w:fill="auto"/>
          </w:tcPr>
          <w:p w:rsidR="0054674A" w:rsidRPr="008035A7" w:rsidRDefault="0054674A" w:rsidP="00AC2970">
            <w:pPr>
              <w:pStyle w:val="Plohy"/>
              <w:rPr>
                <w:rFonts w:cs="Arial"/>
                <w:szCs w:val="24"/>
              </w:rPr>
            </w:pPr>
            <w:r w:rsidRPr="008035A7">
              <w:rPr>
                <w:rFonts w:cs="Arial"/>
                <w:szCs w:val="24"/>
              </w:rPr>
              <w:t>2008</w:t>
            </w:r>
          </w:p>
        </w:tc>
        <w:tc>
          <w:tcPr>
            <w:tcW w:w="2067" w:type="dxa"/>
            <w:shd w:val="clear" w:color="auto" w:fill="auto"/>
          </w:tcPr>
          <w:p w:rsidR="0054674A" w:rsidRPr="008035A7" w:rsidRDefault="0054674A" w:rsidP="00AC2970">
            <w:pPr>
              <w:pStyle w:val="Plohy"/>
              <w:jc w:val="right"/>
              <w:rPr>
                <w:rFonts w:cs="Arial"/>
                <w:szCs w:val="24"/>
              </w:rPr>
            </w:pPr>
            <w:r w:rsidRPr="008035A7">
              <w:rPr>
                <w:rFonts w:cs="Arial"/>
                <w:szCs w:val="24"/>
              </w:rPr>
              <w:t>2 000 000,00 Kč</w:t>
            </w:r>
          </w:p>
        </w:tc>
      </w:tr>
      <w:tr w:rsidR="0054674A" w:rsidRPr="008035A7" w:rsidTr="00AC2970">
        <w:trPr>
          <w:trHeight w:val="71"/>
          <w:jc w:val="center"/>
        </w:trPr>
        <w:tc>
          <w:tcPr>
            <w:tcW w:w="2324" w:type="dxa"/>
            <w:shd w:val="clear" w:color="auto" w:fill="auto"/>
          </w:tcPr>
          <w:p w:rsidR="0054674A" w:rsidRPr="008035A7" w:rsidRDefault="0054674A" w:rsidP="00AC2970">
            <w:pPr>
              <w:pStyle w:val="Plohy"/>
              <w:rPr>
                <w:rFonts w:cs="Arial"/>
                <w:szCs w:val="24"/>
              </w:rPr>
            </w:pPr>
            <w:r w:rsidRPr="008035A7">
              <w:rPr>
                <w:rFonts w:cs="Arial"/>
                <w:szCs w:val="24"/>
              </w:rPr>
              <w:t>UZ/6/38/2009</w:t>
            </w:r>
          </w:p>
        </w:tc>
        <w:tc>
          <w:tcPr>
            <w:tcW w:w="2324" w:type="dxa"/>
            <w:shd w:val="clear" w:color="auto" w:fill="auto"/>
          </w:tcPr>
          <w:p w:rsidR="0054674A" w:rsidRPr="008035A7" w:rsidRDefault="0054674A" w:rsidP="00AC2970">
            <w:pPr>
              <w:pStyle w:val="Plohy"/>
              <w:rPr>
                <w:rFonts w:cs="Arial"/>
                <w:szCs w:val="24"/>
              </w:rPr>
            </w:pPr>
            <w:r w:rsidRPr="008035A7">
              <w:rPr>
                <w:rFonts w:cs="Arial"/>
                <w:szCs w:val="24"/>
              </w:rPr>
              <w:t>29. 6. 2009</w:t>
            </w:r>
          </w:p>
        </w:tc>
        <w:tc>
          <w:tcPr>
            <w:tcW w:w="2324" w:type="dxa"/>
            <w:shd w:val="clear" w:color="auto" w:fill="auto"/>
          </w:tcPr>
          <w:p w:rsidR="0054674A" w:rsidRPr="008035A7" w:rsidRDefault="0054674A" w:rsidP="00AC2970">
            <w:pPr>
              <w:pStyle w:val="Plohy"/>
              <w:rPr>
                <w:rFonts w:cs="Arial"/>
                <w:szCs w:val="24"/>
              </w:rPr>
            </w:pPr>
            <w:r w:rsidRPr="008035A7">
              <w:rPr>
                <w:rFonts w:cs="Arial"/>
                <w:szCs w:val="24"/>
              </w:rPr>
              <w:t>2009-2012</w:t>
            </w:r>
          </w:p>
        </w:tc>
        <w:tc>
          <w:tcPr>
            <w:tcW w:w="2067" w:type="dxa"/>
            <w:shd w:val="clear" w:color="auto" w:fill="auto"/>
          </w:tcPr>
          <w:p w:rsidR="0054674A" w:rsidRPr="008035A7" w:rsidRDefault="0054674A" w:rsidP="00AC2970">
            <w:pPr>
              <w:pStyle w:val="Plohy"/>
              <w:jc w:val="right"/>
              <w:rPr>
                <w:rFonts w:cs="Arial"/>
                <w:szCs w:val="24"/>
              </w:rPr>
            </w:pPr>
            <w:r w:rsidRPr="008035A7">
              <w:rPr>
                <w:rFonts w:cs="Arial"/>
                <w:szCs w:val="24"/>
              </w:rPr>
              <w:t>8 000 000,00 Kč</w:t>
            </w:r>
          </w:p>
        </w:tc>
      </w:tr>
      <w:tr w:rsidR="0054674A" w:rsidRPr="008035A7" w:rsidTr="00AC2970">
        <w:trPr>
          <w:trHeight w:val="71"/>
          <w:jc w:val="center"/>
        </w:trPr>
        <w:tc>
          <w:tcPr>
            <w:tcW w:w="2324" w:type="dxa"/>
            <w:shd w:val="clear" w:color="auto" w:fill="auto"/>
          </w:tcPr>
          <w:p w:rsidR="0054674A" w:rsidRPr="008035A7" w:rsidRDefault="0054674A" w:rsidP="00AC2970">
            <w:pPr>
              <w:pStyle w:val="Plohy"/>
              <w:rPr>
                <w:rFonts w:cs="Arial"/>
                <w:szCs w:val="24"/>
              </w:rPr>
            </w:pPr>
            <w:r w:rsidRPr="008035A7">
              <w:rPr>
                <w:rFonts w:cs="Arial"/>
                <w:szCs w:val="24"/>
              </w:rPr>
              <w:t>UZ/4/40/2013</w:t>
            </w:r>
          </w:p>
        </w:tc>
        <w:tc>
          <w:tcPr>
            <w:tcW w:w="2324" w:type="dxa"/>
            <w:shd w:val="clear" w:color="auto" w:fill="auto"/>
          </w:tcPr>
          <w:p w:rsidR="0054674A" w:rsidRPr="008035A7" w:rsidRDefault="0054674A" w:rsidP="00AC2970">
            <w:pPr>
              <w:pStyle w:val="Plohy"/>
              <w:rPr>
                <w:rFonts w:cs="Arial"/>
                <w:szCs w:val="24"/>
              </w:rPr>
            </w:pPr>
            <w:r w:rsidRPr="008035A7">
              <w:rPr>
                <w:rFonts w:cs="Arial"/>
                <w:szCs w:val="24"/>
              </w:rPr>
              <w:t>26. 4. 2013</w:t>
            </w:r>
          </w:p>
        </w:tc>
        <w:tc>
          <w:tcPr>
            <w:tcW w:w="2324" w:type="dxa"/>
            <w:shd w:val="clear" w:color="auto" w:fill="auto"/>
          </w:tcPr>
          <w:p w:rsidR="0054674A" w:rsidRPr="008035A7" w:rsidRDefault="0054674A" w:rsidP="00AC2970">
            <w:pPr>
              <w:pStyle w:val="Plohy"/>
              <w:rPr>
                <w:rFonts w:cs="Arial"/>
                <w:szCs w:val="24"/>
              </w:rPr>
            </w:pPr>
            <w:r w:rsidRPr="008035A7">
              <w:rPr>
                <w:rFonts w:cs="Arial"/>
                <w:szCs w:val="24"/>
              </w:rPr>
              <w:t>2013</w:t>
            </w:r>
          </w:p>
        </w:tc>
        <w:tc>
          <w:tcPr>
            <w:tcW w:w="2067" w:type="dxa"/>
            <w:shd w:val="clear" w:color="auto" w:fill="auto"/>
          </w:tcPr>
          <w:p w:rsidR="0054674A" w:rsidRPr="008035A7" w:rsidRDefault="0054674A" w:rsidP="00AC2970">
            <w:pPr>
              <w:pStyle w:val="Plohy"/>
              <w:jc w:val="right"/>
              <w:rPr>
                <w:rFonts w:cs="Arial"/>
                <w:szCs w:val="24"/>
              </w:rPr>
            </w:pPr>
            <w:r w:rsidRPr="008035A7">
              <w:rPr>
                <w:rFonts w:cs="Arial"/>
                <w:szCs w:val="24"/>
              </w:rPr>
              <w:t>872 630,79 Kč</w:t>
            </w:r>
          </w:p>
        </w:tc>
      </w:tr>
      <w:tr w:rsidR="0054674A" w:rsidRPr="008035A7" w:rsidTr="00AC2970">
        <w:trPr>
          <w:trHeight w:val="71"/>
          <w:jc w:val="center"/>
        </w:trPr>
        <w:tc>
          <w:tcPr>
            <w:tcW w:w="2324" w:type="dxa"/>
            <w:shd w:val="clear" w:color="auto" w:fill="auto"/>
          </w:tcPr>
          <w:p w:rsidR="0054674A" w:rsidRPr="008035A7" w:rsidRDefault="0054674A" w:rsidP="00AC2970">
            <w:pPr>
              <w:pStyle w:val="Plohy"/>
              <w:rPr>
                <w:rFonts w:cs="Arial"/>
                <w:szCs w:val="24"/>
              </w:rPr>
            </w:pPr>
            <w:r w:rsidRPr="008035A7">
              <w:rPr>
                <w:rFonts w:cs="Arial"/>
                <w:szCs w:val="24"/>
              </w:rPr>
              <w:t>UZ/8/41/2013</w:t>
            </w:r>
          </w:p>
        </w:tc>
        <w:tc>
          <w:tcPr>
            <w:tcW w:w="2324" w:type="dxa"/>
            <w:shd w:val="clear" w:color="auto" w:fill="auto"/>
          </w:tcPr>
          <w:p w:rsidR="0054674A" w:rsidRPr="008035A7" w:rsidRDefault="0054674A" w:rsidP="00AC2970">
            <w:pPr>
              <w:pStyle w:val="Plohy"/>
              <w:rPr>
                <w:rFonts w:cs="Arial"/>
                <w:szCs w:val="24"/>
              </w:rPr>
            </w:pPr>
            <w:r w:rsidRPr="008035A7">
              <w:rPr>
                <w:rFonts w:cs="Arial"/>
                <w:szCs w:val="24"/>
              </w:rPr>
              <w:t>19. 12. 2013</w:t>
            </w:r>
          </w:p>
        </w:tc>
        <w:tc>
          <w:tcPr>
            <w:tcW w:w="2324" w:type="dxa"/>
            <w:shd w:val="clear" w:color="auto" w:fill="auto"/>
          </w:tcPr>
          <w:p w:rsidR="0054674A" w:rsidRPr="008035A7" w:rsidRDefault="0054674A" w:rsidP="00AC2970">
            <w:pPr>
              <w:pStyle w:val="Plohy"/>
              <w:rPr>
                <w:rFonts w:cs="Arial"/>
                <w:szCs w:val="24"/>
              </w:rPr>
            </w:pPr>
            <w:r w:rsidRPr="008035A7">
              <w:rPr>
                <w:rFonts w:cs="Arial"/>
                <w:szCs w:val="24"/>
              </w:rPr>
              <w:t>2014-2016</w:t>
            </w:r>
          </w:p>
        </w:tc>
        <w:tc>
          <w:tcPr>
            <w:tcW w:w="2067" w:type="dxa"/>
            <w:shd w:val="clear" w:color="auto" w:fill="auto"/>
          </w:tcPr>
          <w:p w:rsidR="0054674A" w:rsidRPr="008035A7" w:rsidRDefault="0054674A" w:rsidP="00AC2970">
            <w:pPr>
              <w:pStyle w:val="Plohy"/>
              <w:jc w:val="right"/>
              <w:rPr>
                <w:rFonts w:cs="Arial"/>
                <w:szCs w:val="24"/>
              </w:rPr>
            </w:pPr>
            <w:r w:rsidRPr="008035A7">
              <w:rPr>
                <w:rFonts w:cs="Arial"/>
                <w:szCs w:val="24"/>
              </w:rPr>
              <w:t>4 500 000,00 Kč</w:t>
            </w:r>
          </w:p>
        </w:tc>
      </w:tr>
    </w:tbl>
    <w:p w:rsidR="0054674A" w:rsidRPr="008035A7" w:rsidRDefault="0054674A" w:rsidP="0054674A">
      <w:pPr>
        <w:pStyle w:val="Plohy"/>
        <w:rPr>
          <w:rFonts w:cs="Arial"/>
          <w:szCs w:val="24"/>
        </w:rPr>
      </w:pPr>
      <w:r w:rsidRPr="008035A7">
        <w:rPr>
          <w:rFonts w:cs="Arial"/>
          <w:szCs w:val="24"/>
        </w:rPr>
        <w:t>Vyúčtování dotací a závěrečné zprávy předložila RARSM na odbor strategického rozvoje kraje řádně a v termínu. Dle předložených vyúčtování byla dotace nejčasteji využita k úhradě nákladů na zpracová</w:t>
      </w:r>
      <w:r w:rsidR="00D60D34">
        <w:rPr>
          <w:rFonts w:cs="Arial"/>
          <w:szCs w:val="24"/>
        </w:rPr>
        <w:t>ní</w:t>
      </w:r>
      <w:r w:rsidRPr="008035A7">
        <w:rPr>
          <w:rFonts w:cs="Arial"/>
          <w:szCs w:val="24"/>
        </w:rPr>
        <w:t xml:space="preserve"> projektov</w:t>
      </w:r>
      <w:r w:rsidR="00D60D34">
        <w:rPr>
          <w:rFonts w:cs="Arial"/>
          <w:szCs w:val="24"/>
        </w:rPr>
        <w:t>é</w:t>
      </w:r>
      <w:r w:rsidRPr="008035A7">
        <w:rPr>
          <w:rFonts w:cs="Arial"/>
          <w:szCs w:val="24"/>
        </w:rPr>
        <w:t xml:space="preserve"> dokumentac</w:t>
      </w:r>
      <w:r w:rsidR="00D60D34">
        <w:rPr>
          <w:rFonts w:cs="Arial"/>
          <w:szCs w:val="24"/>
        </w:rPr>
        <w:t>e</w:t>
      </w:r>
      <w:r w:rsidRPr="008035A7">
        <w:rPr>
          <w:rFonts w:cs="Arial"/>
          <w:szCs w:val="24"/>
        </w:rPr>
        <w:t xml:space="preserve"> pro obce.</w:t>
      </w:r>
    </w:p>
    <w:p w:rsidR="0054674A" w:rsidRPr="008035A7" w:rsidRDefault="0054674A" w:rsidP="0054674A">
      <w:pPr>
        <w:pStyle w:val="Plohy"/>
        <w:rPr>
          <w:rFonts w:cs="Arial"/>
          <w:szCs w:val="24"/>
          <w:u w:val="single"/>
        </w:rPr>
      </w:pPr>
      <w:r w:rsidRPr="008035A7">
        <w:rPr>
          <w:rFonts w:cs="Arial"/>
          <w:szCs w:val="24"/>
          <w:u w:val="single"/>
        </w:rPr>
        <w:t>Veřejná podpora</w:t>
      </w:r>
    </w:p>
    <w:p w:rsidR="0054674A" w:rsidRPr="008035A7" w:rsidRDefault="0054674A" w:rsidP="0054674A">
      <w:pPr>
        <w:pStyle w:val="Plohy"/>
        <w:rPr>
          <w:rFonts w:cs="Arial"/>
          <w:bCs/>
          <w:szCs w:val="24"/>
        </w:rPr>
      </w:pPr>
      <w:r w:rsidRPr="008035A7">
        <w:rPr>
          <w:rFonts w:cs="Arial"/>
          <w:szCs w:val="24"/>
        </w:rPr>
        <w:t xml:space="preserve">Zpracovatel informuje ROK o skutečnosti, že poskytnutí dotace RARSM zakládá veřejnou podporu malého rozsahu (de minimis). Přípustná výše podpory de minimis je stanovena do 200 000,00 Eur (cca 5,5 mil. Kč) za poslední 3 fiskální roky. </w:t>
      </w:r>
      <w:r w:rsidR="00D60D34">
        <w:rPr>
          <w:rFonts w:cs="Arial"/>
          <w:bCs/>
          <w:szCs w:val="24"/>
        </w:rPr>
        <w:t>V registru de minimis není evidávána žádná podpora za poslední tři fiskální roky, RARSM má tedy „volný“ celý limit.</w:t>
      </w:r>
    </w:p>
    <w:p w:rsidR="0054674A" w:rsidRPr="008035A7" w:rsidRDefault="0054674A" w:rsidP="0054674A">
      <w:pPr>
        <w:rPr>
          <w:rFonts w:ascii="Arial" w:hAnsi="Arial" w:cs="Arial"/>
          <w:noProof/>
          <w:sz w:val="24"/>
          <w:szCs w:val="24"/>
          <w:u w:val="single"/>
        </w:rPr>
      </w:pPr>
    </w:p>
    <w:p w:rsidR="0054674A" w:rsidRPr="008035A7" w:rsidRDefault="0054674A" w:rsidP="0054674A">
      <w:pPr>
        <w:pStyle w:val="Plohy"/>
        <w:rPr>
          <w:rFonts w:cs="Arial"/>
          <w:szCs w:val="24"/>
          <w:u w:val="single"/>
        </w:rPr>
      </w:pPr>
      <w:r w:rsidRPr="008035A7">
        <w:rPr>
          <w:rFonts w:cs="Arial"/>
          <w:szCs w:val="24"/>
          <w:u w:val="single"/>
        </w:rPr>
        <w:t>Shrnutí</w:t>
      </w:r>
    </w:p>
    <w:p w:rsidR="00D721B2" w:rsidRDefault="00D721B2" w:rsidP="00D721B2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87BBF">
        <w:rPr>
          <w:rFonts w:ascii="Arial" w:hAnsi="Arial" w:cs="Arial"/>
          <w:sz w:val="24"/>
          <w:szCs w:val="24"/>
        </w:rPr>
        <w:t xml:space="preserve">Na účel uvedený v individuální žádosti </w:t>
      </w:r>
      <w:r>
        <w:rPr>
          <w:rFonts w:ascii="Arial" w:hAnsi="Arial" w:cs="Arial"/>
          <w:sz w:val="24"/>
          <w:szCs w:val="24"/>
        </w:rPr>
        <w:t>RARSM</w:t>
      </w:r>
      <w:r w:rsidRPr="00487BBF">
        <w:rPr>
          <w:rFonts w:ascii="Arial" w:hAnsi="Arial" w:cs="Arial"/>
          <w:sz w:val="24"/>
          <w:szCs w:val="24"/>
        </w:rPr>
        <w:t xml:space="preserve"> nejsou v rozpočtu Olomouckého kraje vyčleněny finanční prostředky.</w:t>
      </w:r>
      <w:r>
        <w:rPr>
          <w:rFonts w:ascii="Arial" w:hAnsi="Arial" w:cs="Arial"/>
          <w:sz w:val="24"/>
          <w:szCs w:val="24"/>
        </w:rPr>
        <w:t xml:space="preserve"> </w:t>
      </w:r>
      <w:r w:rsidRPr="00817279">
        <w:rPr>
          <w:rFonts w:ascii="Arial" w:hAnsi="Arial" w:cs="Arial"/>
          <w:sz w:val="24"/>
          <w:szCs w:val="24"/>
        </w:rPr>
        <w:t xml:space="preserve">Olomoucký kraj neměl </w:t>
      </w:r>
      <w:r>
        <w:rPr>
          <w:rFonts w:ascii="Arial" w:hAnsi="Arial" w:cs="Arial"/>
          <w:sz w:val="24"/>
          <w:szCs w:val="24"/>
        </w:rPr>
        <w:t xml:space="preserve">ani nepřipravuje v roce 2017 </w:t>
      </w:r>
      <w:r w:rsidRPr="00817279">
        <w:rPr>
          <w:rFonts w:ascii="Arial" w:hAnsi="Arial" w:cs="Arial"/>
          <w:sz w:val="24"/>
          <w:szCs w:val="24"/>
        </w:rPr>
        <w:t>vyps</w:t>
      </w:r>
      <w:r>
        <w:rPr>
          <w:rFonts w:ascii="Arial" w:hAnsi="Arial" w:cs="Arial"/>
          <w:sz w:val="24"/>
          <w:szCs w:val="24"/>
        </w:rPr>
        <w:t>at</w:t>
      </w:r>
      <w:r w:rsidRPr="00817279">
        <w:rPr>
          <w:rFonts w:ascii="Arial" w:hAnsi="Arial" w:cs="Arial"/>
          <w:sz w:val="24"/>
          <w:szCs w:val="24"/>
        </w:rPr>
        <w:t xml:space="preserve"> vhodný dotační titul, v rámci něhož by mohla </w:t>
      </w:r>
      <w:r>
        <w:rPr>
          <w:rFonts w:ascii="Arial" w:hAnsi="Arial" w:cs="Arial"/>
          <w:sz w:val="24"/>
          <w:szCs w:val="24"/>
        </w:rPr>
        <w:t>RARSM</w:t>
      </w:r>
      <w:r w:rsidRPr="00817279">
        <w:rPr>
          <w:rFonts w:ascii="Arial" w:hAnsi="Arial" w:cs="Arial"/>
          <w:sz w:val="24"/>
          <w:szCs w:val="24"/>
        </w:rPr>
        <w:t xml:space="preserve"> požádat o tuto dotaci.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60D34" w:rsidRDefault="001560C9" w:rsidP="00D60D34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Žádost byla projednána Radou Olomouckého kraje, která svým usnesením č. </w:t>
      </w:r>
      <w:r w:rsidRPr="001560C9">
        <w:rPr>
          <w:rFonts w:ascii="Arial" w:hAnsi="Arial" w:cs="Arial"/>
          <w:sz w:val="24"/>
          <w:szCs w:val="24"/>
        </w:rPr>
        <w:t>UR/8/32/2017</w:t>
      </w:r>
      <w:r>
        <w:rPr>
          <w:rFonts w:ascii="Arial" w:hAnsi="Arial" w:cs="Arial"/>
          <w:sz w:val="24"/>
          <w:szCs w:val="24"/>
        </w:rPr>
        <w:t xml:space="preserve"> ze dne 6. 2. 2017 doporučila</w:t>
      </w:r>
      <w:r w:rsidR="00D60D34" w:rsidRPr="007430E1">
        <w:rPr>
          <w:rFonts w:ascii="Arial" w:hAnsi="Arial" w:cs="Arial"/>
          <w:sz w:val="24"/>
          <w:szCs w:val="24"/>
        </w:rPr>
        <w:t xml:space="preserve"> </w:t>
      </w:r>
      <w:r w:rsidR="00D60D34" w:rsidRPr="007430E1">
        <w:rPr>
          <w:rFonts w:ascii="Arial" w:hAnsi="Arial" w:cs="Arial"/>
          <w:b/>
          <w:sz w:val="24"/>
          <w:szCs w:val="24"/>
        </w:rPr>
        <w:t>vyhovět</w:t>
      </w:r>
      <w:r w:rsidR="00D60D34" w:rsidRPr="007430E1">
        <w:rPr>
          <w:rFonts w:ascii="Arial" w:hAnsi="Arial" w:cs="Arial"/>
          <w:sz w:val="24"/>
          <w:szCs w:val="24"/>
        </w:rPr>
        <w:t xml:space="preserve"> žadateli</w:t>
      </w:r>
      <w:r w:rsidR="00D60D34">
        <w:rPr>
          <w:rFonts w:ascii="Arial" w:hAnsi="Arial" w:cs="Arial"/>
          <w:sz w:val="24"/>
          <w:szCs w:val="24"/>
        </w:rPr>
        <w:t xml:space="preserve"> </w:t>
      </w:r>
      <w:r w:rsidR="00351D12">
        <w:rPr>
          <w:rFonts w:ascii="Arial" w:hAnsi="Arial" w:cs="Arial"/>
          <w:sz w:val="24"/>
          <w:szCs w:val="24"/>
        </w:rPr>
        <w:t>RARSM</w:t>
      </w:r>
      <w:r w:rsidR="00D60D34">
        <w:rPr>
          <w:rFonts w:ascii="Arial" w:hAnsi="Arial" w:cs="Arial"/>
          <w:sz w:val="24"/>
          <w:szCs w:val="24"/>
        </w:rPr>
        <w:t xml:space="preserve"> o poskytnutí individuální dotace z rozpočtu kraje na </w:t>
      </w:r>
      <w:r w:rsidR="00351D12" w:rsidRPr="00351D12">
        <w:rPr>
          <w:rFonts w:ascii="Arial" w:hAnsi="Arial" w:cs="Arial"/>
          <w:sz w:val="24"/>
          <w:szCs w:val="24"/>
        </w:rPr>
        <w:t>poskytování poradenských služeb na území Olomouckého kraje pro obce, včetně svazků, ve kterých jsou zúčastněny obce a jejich zřízené a založené organizace, a neziskové organizace v</w:t>
      </w:r>
      <w:r w:rsidR="00351D12">
        <w:rPr>
          <w:rFonts w:ascii="Arial" w:hAnsi="Arial" w:cs="Arial"/>
          <w:sz w:val="24"/>
          <w:szCs w:val="24"/>
        </w:rPr>
        <w:t>e výše uvedených</w:t>
      </w:r>
      <w:r w:rsidR="00351D12" w:rsidRPr="00351D12">
        <w:rPr>
          <w:rFonts w:ascii="Arial" w:hAnsi="Arial" w:cs="Arial"/>
          <w:sz w:val="24"/>
          <w:szCs w:val="24"/>
        </w:rPr>
        <w:t xml:space="preserve"> oblastech</w:t>
      </w:r>
      <w:r w:rsidR="00D60D34">
        <w:rPr>
          <w:rFonts w:ascii="Arial" w:hAnsi="Arial" w:cs="Arial"/>
          <w:sz w:val="24"/>
          <w:szCs w:val="24"/>
        </w:rPr>
        <w:t xml:space="preserve">. </w:t>
      </w:r>
    </w:p>
    <w:p w:rsidR="00D60D34" w:rsidRDefault="00D60D34" w:rsidP="00D60D34">
      <w:pPr>
        <w:pStyle w:val="Plohy"/>
      </w:pPr>
      <w:r>
        <w:lastRenderedPageBreak/>
        <w:t xml:space="preserve">Žádost o poskytnutí dotace bude projednána ve Výboru regionálního rozvoje Zastupitelstva Olomouckého kraje dne </w:t>
      </w:r>
      <w:r w:rsidR="00E5003B">
        <w:t>16</w:t>
      </w:r>
      <w:r>
        <w:t>. </w:t>
      </w:r>
      <w:r w:rsidR="00E5003B">
        <w:t>2</w:t>
      </w:r>
      <w:r>
        <w:t>. 2017.</w:t>
      </w:r>
      <w:r w:rsidRPr="00D60D34">
        <w:rPr>
          <w:rFonts w:cs="Arial"/>
          <w:szCs w:val="24"/>
        </w:rPr>
        <w:t xml:space="preserve"> </w:t>
      </w:r>
      <w:r w:rsidRPr="008035A7">
        <w:rPr>
          <w:rFonts w:cs="Arial"/>
          <w:szCs w:val="24"/>
        </w:rPr>
        <w:t>Doporučení výboru proto bude ústně tlumočeno přímo na jednání Zastupitelstva Olomouckého kraje.</w:t>
      </w:r>
    </w:p>
    <w:p w:rsidR="0054674A" w:rsidRPr="008035A7" w:rsidRDefault="00D60D34" w:rsidP="00D60D34">
      <w:pPr>
        <w:pStyle w:val="Plohy"/>
        <w:rPr>
          <w:rFonts w:cs="Arial"/>
          <w:b/>
          <w:szCs w:val="24"/>
        </w:rPr>
      </w:pPr>
      <w:r w:rsidRPr="00817279">
        <w:rPr>
          <w:rFonts w:cs="Arial"/>
          <w:szCs w:val="24"/>
        </w:rPr>
        <w:t>Protože žadatel požádal o dotaci, která překračuje hranici 200 tis. Kč, je rozhodnutí o poskytnutí, či ne</w:t>
      </w:r>
      <w:r>
        <w:rPr>
          <w:rFonts w:cs="Arial"/>
          <w:szCs w:val="24"/>
        </w:rPr>
        <w:t>poskytnutí dotace dle zákona č. </w:t>
      </w:r>
      <w:r w:rsidRPr="00817279">
        <w:rPr>
          <w:rFonts w:cs="Arial"/>
          <w:szCs w:val="24"/>
        </w:rPr>
        <w:t>250/2000 Sb., o rozpočtových pravidlech územních rozpočtů, a dle zákona č. 129/2000 Sb., o krajích, v kompetenci Zastupitelstva Olomouckého kraje.</w:t>
      </w:r>
    </w:p>
    <w:p w:rsidR="005244E7" w:rsidRDefault="005244E7" w:rsidP="005244E7">
      <w:pPr>
        <w:rPr>
          <w:rFonts w:ascii="Arial" w:hAnsi="Arial" w:cs="Arial"/>
          <w:sz w:val="24"/>
          <w:szCs w:val="24"/>
        </w:rPr>
      </w:pPr>
    </w:p>
    <w:p w:rsidR="005244E7" w:rsidRPr="008F3150" w:rsidRDefault="002D51F6" w:rsidP="005244E7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Souhrn došlých žádostí o dotaci je uveden v příloze č. 1 důvodové zprávy. </w:t>
      </w:r>
      <w:r w:rsidR="005244E7" w:rsidRPr="00695EC1">
        <w:rPr>
          <w:rFonts w:ascii="Arial" w:hAnsi="Arial" w:cs="Arial"/>
          <w:sz w:val="24"/>
          <w:szCs w:val="24"/>
        </w:rPr>
        <w:t xml:space="preserve">Orgán, který o poskytnutí, či neposkytnutí dotace rozhoduje, je pak uveden </w:t>
      </w:r>
      <w:r>
        <w:rPr>
          <w:rFonts w:ascii="Arial" w:hAnsi="Arial" w:cs="Arial"/>
          <w:sz w:val="24"/>
          <w:szCs w:val="24"/>
        </w:rPr>
        <w:t>v posledním sloupci v tabulce.</w:t>
      </w:r>
      <w:r w:rsidR="005244E7" w:rsidRPr="00695EC1">
        <w:rPr>
          <w:rFonts w:ascii="Arial" w:hAnsi="Arial" w:cs="Arial"/>
          <w:sz w:val="24"/>
          <w:szCs w:val="24"/>
        </w:rPr>
        <w:t xml:space="preserve"> V Příloze č. 2 a 3 jsou předkládány návrhy smluv </w:t>
      </w:r>
      <w:r w:rsidR="005244E7">
        <w:rPr>
          <w:rFonts w:ascii="Arial" w:hAnsi="Arial" w:cs="Arial"/>
          <w:bCs/>
          <w:sz w:val="24"/>
          <w:szCs w:val="24"/>
        </w:rPr>
        <w:t>o </w:t>
      </w:r>
      <w:r w:rsidR="005244E7" w:rsidRPr="00695EC1">
        <w:rPr>
          <w:rFonts w:ascii="Arial" w:hAnsi="Arial" w:cs="Arial"/>
          <w:bCs/>
          <w:sz w:val="24"/>
          <w:szCs w:val="24"/>
        </w:rPr>
        <w:t xml:space="preserve">poskytnutí dotace pro případ, kdy by </w:t>
      </w:r>
      <w:r w:rsidR="005244E7" w:rsidRPr="00695EC1">
        <w:rPr>
          <w:rFonts w:ascii="Arial" w:hAnsi="Arial" w:cs="Arial"/>
          <w:sz w:val="24"/>
          <w:szCs w:val="24"/>
        </w:rPr>
        <w:t>rozhodnutím Zastupitelstva Olomouckého kraje byla dotace poskytnuta.</w:t>
      </w:r>
    </w:p>
    <w:p w:rsidR="005244E7" w:rsidRDefault="005244E7" w:rsidP="005244E7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54674A" w:rsidRPr="008035A7" w:rsidRDefault="001E3CEF" w:rsidP="0054674A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Rada Olomouckého kraje doporučuje svým usnesením č. UR/8/32/2017 ze dne 6. 2. 2017 </w:t>
      </w:r>
      <w:bookmarkStart w:id="0" w:name="_GoBack"/>
      <w:bookmarkEnd w:id="0"/>
      <w:r w:rsidR="0054674A" w:rsidRPr="007430E1">
        <w:rPr>
          <w:rFonts w:ascii="Arial" w:hAnsi="Arial" w:cs="Arial"/>
          <w:b/>
          <w:sz w:val="24"/>
          <w:szCs w:val="24"/>
        </w:rPr>
        <w:t>Zastupitelstvu Olomouckého kraje vyhovět žádost</w:t>
      </w:r>
      <w:r w:rsidR="002D51F6" w:rsidRPr="007430E1">
        <w:rPr>
          <w:rFonts w:ascii="Arial" w:hAnsi="Arial" w:cs="Arial"/>
          <w:b/>
          <w:sz w:val="24"/>
          <w:szCs w:val="24"/>
        </w:rPr>
        <w:t>em</w:t>
      </w:r>
      <w:r w:rsidR="001560C9">
        <w:rPr>
          <w:rFonts w:ascii="Arial" w:hAnsi="Arial" w:cs="Arial"/>
          <w:b/>
          <w:sz w:val="24"/>
          <w:szCs w:val="24"/>
        </w:rPr>
        <w:t xml:space="preserve"> o </w:t>
      </w:r>
      <w:r w:rsidR="0054674A" w:rsidRPr="007430E1">
        <w:rPr>
          <w:rFonts w:ascii="Arial" w:hAnsi="Arial" w:cs="Arial"/>
          <w:b/>
          <w:sz w:val="24"/>
          <w:szCs w:val="24"/>
        </w:rPr>
        <w:t>poskytnutí</w:t>
      </w:r>
      <w:r w:rsidR="0054674A" w:rsidRPr="008035A7">
        <w:rPr>
          <w:rFonts w:ascii="Arial" w:hAnsi="Arial" w:cs="Arial"/>
          <w:b/>
          <w:sz w:val="24"/>
          <w:szCs w:val="24"/>
        </w:rPr>
        <w:t xml:space="preserve"> dotace z rozpočtu Olomouckého kraje dle </w:t>
      </w:r>
      <w:r w:rsidR="002D51F6">
        <w:rPr>
          <w:rFonts w:ascii="Arial" w:hAnsi="Arial" w:cs="Arial"/>
          <w:b/>
          <w:sz w:val="24"/>
          <w:szCs w:val="24"/>
        </w:rPr>
        <w:t>přílohy č. 1</w:t>
      </w:r>
      <w:r w:rsidR="0054674A" w:rsidRPr="008035A7">
        <w:rPr>
          <w:rFonts w:ascii="Arial" w:hAnsi="Arial" w:cs="Arial"/>
          <w:b/>
          <w:sz w:val="24"/>
          <w:szCs w:val="24"/>
        </w:rPr>
        <w:t xml:space="preserve"> důvodové zprávy s odůvodněním dle důvodové zprávy</w:t>
      </w:r>
      <w:r w:rsidR="002C287B">
        <w:rPr>
          <w:rFonts w:ascii="Arial" w:hAnsi="Arial" w:cs="Arial"/>
          <w:b/>
          <w:sz w:val="24"/>
          <w:szCs w:val="24"/>
        </w:rPr>
        <w:t xml:space="preserve"> a schválit smlouv</w:t>
      </w:r>
      <w:r w:rsidR="002D51F6">
        <w:rPr>
          <w:rFonts w:ascii="Arial" w:hAnsi="Arial" w:cs="Arial"/>
          <w:b/>
          <w:sz w:val="24"/>
          <w:szCs w:val="24"/>
        </w:rPr>
        <w:t>y</w:t>
      </w:r>
      <w:r w:rsidR="002C287B">
        <w:rPr>
          <w:rFonts w:ascii="Arial" w:hAnsi="Arial" w:cs="Arial"/>
          <w:b/>
          <w:sz w:val="24"/>
          <w:szCs w:val="24"/>
        </w:rPr>
        <w:t xml:space="preserve"> o dotaci dle příloh </w:t>
      </w:r>
      <w:r w:rsidR="005244E7">
        <w:rPr>
          <w:rFonts w:ascii="Arial" w:hAnsi="Arial" w:cs="Arial"/>
          <w:b/>
          <w:sz w:val="24"/>
          <w:szCs w:val="24"/>
        </w:rPr>
        <w:t xml:space="preserve">č. 2 a </w:t>
      </w:r>
      <w:r w:rsidR="002C287B">
        <w:rPr>
          <w:rFonts w:ascii="Arial" w:hAnsi="Arial" w:cs="Arial"/>
          <w:b/>
          <w:sz w:val="24"/>
          <w:szCs w:val="24"/>
        </w:rPr>
        <w:t>č. 3 důvodové zprávy</w:t>
      </w:r>
      <w:r w:rsidR="0054674A" w:rsidRPr="008035A7">
        <w:rPr>
          <w:rFonts w:ascii="Arial" w:hAnsi="Arial" w:cs="Arial"/>
          <w:b/>
          <w:sz w:val="24"/>
          <w:szCs w:val="24"/>
        </w:rPr>
        <w:t xml:space="preserve">. </w:t>
      </w:r>
    </w:p>
    <w:p w:rsidR="005244E7" w:rsidRDefault="005244E7" w:rsidP="005244E7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9E7132" w:rsidRDefault="009E7132" w:rsidP="000A7F4D">
      <w:pPr>
        <w:spacing w:after="1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:rsidR="00395720" w:rsidRDefault="002C287B" w:rsidP="00446038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 č. </w:t>
      </w:r>
      <w:r w:rsidR="000E5B3C">
        <w:rPr>
          <w:rFonts w:ascii="Arial" w:hAnsi="Arial" w:cs="Arial"/>
        </w:rPr>
        <w:t xml:space="preserve">1: </w:t>
      </w:r>
      <w:r>
        <w:rPr>
          <w:rFonts w:ascii="Arial" w:hAnsi="Arial" w:cs="Arial"/>
        </w:rPr>
        <w:t>Informace o žádostech (stran</w:t>
      </w:r>
      <w:r w:rsidR="005256F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1560C9">
        <w:rPr>
          <w:rFonts w:ascii="Arial" w:hAnsi="Arial" w:cs="Arial"/>
        </w:rPr>
        <w:t>4</w:t>
      </w:r>
      <w:r w:rsidR="00DE14CC">
        <w:rPr>
          <w:rFonts w:ascii="Arial" w:hAnsi="Arial" w:cs="Arial"/>
        </w:rPr>
        <w:t>-</w:t>
      </w:r>
      <w:r w:rsidR="001560C9">
        <w:rPr>
          <w:rFonts w:ascii="Arial" w:hAnsi="Arial" w:cs="Arial"/>
        </w:rPr>
        <w:t>5</w:t>
      </w:r>
      <w:r w:rsidR="000E5B3C">
        <w:rPr>
          <w:rFonts w:ascii="Arial" w:hAnsi="Arial" w:cs="Arial"/>
        </w:rPr>
        <w:t>)</w:t>
      </w:r>
    </w:p>
    <w:p w:rsidR="000E5B3C" w:rsidRDefault="002C287B" w:rsidP="00446038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 </w:t>
      </w:r>
      <w:r w:rsidR="000E5B3C">
        <w:rPr>
          <w:rFonts w:ascii="Arial" w:hAnsi="Arial" w:cs="Arial"/>
        </w:rPr>
        <w:t>č.</w:t>
      </w:r>
      <w:r>
        <w:rPr>
          <w:rFonts w:ascii="Arial" w:hAnsi="Arial" w:cs="Arial"/>
        </w:rPr>
        <w:t> </w:t>
      </w:r>
      <w:r w:rsidR="000E5B3C">
        <w:rPr>
          <w:rFonts w:ascii="Arial" w:hAnsi="Arial" w:cs="Arial"/>
        </w:rPr>
        <w:t xml:space="preserve">2: </w:t>
      </w:r>
      <w:r w:rsidRPr="009366DC">
        <w:rPr>
          <w:rFonts w:ascii="Arial" w:hAnsi="Arial" w:cs="Arial"/>
        </w:rPr>
        <w:t xml:space="preserve">Smlouva o poskytnutí dotace mezi Olomouckým krajem a </w:t>
      </w:r>
      <w:r>
        <w:rPr>
          <w:rFonts w:ascii="Arial" w:hAnsi="Arial" w:cs="Arial"/>
        </w:rPr>
        <w:t xml:space="preserve">Regionální radou regionu soudržnosti Střední Morava (strany </w:t>
      </w:r>
      <w:r w:rsidR="001560C9">
        <w:rPr>
          <w:rFonts w:ascii="Arial" w:hAnsi="Arial" w:cs="Arial"/>
        </w:rPr>
        <w:t>6</w:t>
      </w:r>
      <w:r>
        <w:rPr>
          <w:rFonts w:ascii="Arial" w:hAnsi="Arial" w:cs="Arial"/>
        </w:rPr>
        <w:t>-</w:t>
      </w:r>
      <w:r w:rsidR="00285289">
        <w:rPr>
          <w:rFonts w:ascii="Arial" w:hAnsi="Arial" w:cs="Arial"/>
        </w:rPr>
        <w:t>1</w:t>
      </w:r>
      <w:r w:rsidR="001560C9">
        <w:rPr>
          <w:rFonts w:ascii="Arial" w:hAnsi="Arial" w:cs="Arial"/>
        </w:rPr>
        <w:t>1</w:t>
      </w:r>
      <w:r w:rsidR="00AC6AF2">
        <w:rPr>
          <w:rFonts w:ascii="Arial" w:hAnsi="Arial" w:cs="Arial"/>
        </w:rPr>
        <w:t>)</w:t>
      </w:r>
    </w:p>
    <w:p w:rsidR="002C287B" w:rsidRDefault="002C287B" w:rsidP="002C287B">
      <w:pPr>
        <w:pStyle w:val="Zkladntextodsazen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 č. </w:t>
      </w:r>
      <w:r w:rsidR="000E5B3C">
        <w:rPr>
          <w:rFonts w:ascii="Arial" w:hAnsi="Arial" w:cs="Arial"/>
        </w:rPr>
        <w:t xml:space="preserve">3: </w:t>
      </w:r>
      <w:r w:rsidRPr="009366DC">
        <w:rPr>
          <w:rFonts w:ascii="Arial" w:hAnsi="Arial" w:cs="Arial"/>
        </w:rPr>
        <w:t xml:space="preserve">Smlouva o poskytnutí dotace mezi Olomouckým krajem a </w:t>
      </w:r>
      <w:r>
        <w:rPr>
          <w:rFonts w:ascii="Arial" w:hAnsi="Arial" w:cs="Arial"/>
        </w:rPr>
        <w:t xml:space="preserve">RARSM (strany </w:t>
      </w:r>
      <w:r w:rsidR="00285289">
        <w:rPr>
          <w:rFonts w:ascii="Arial" w:hAnsi="Arial" w:cs="Arial"/>
        </w:rPr>
        <w:t>1</w:t>
      </w:r>
      <w:r w:rsidR="001560C9">
        <w:rPr>
          <w:rFonts w:ascii="Arial" w:hAnsi="Arial" w:cs="Arial"/>
        </w:rPr>
        <w:t>2</w:t>
      </w:r>
      <w:r>
        <w:rPr>
          <w:rFonts w:ascii="Arial" w:hAnsi="Arial" w:cs="Arial"/>
        </w:rPr>
        <w:t>-</w:t>
      </w:r>
      <w:r w:rsidR="00285289">
        <w:rPr>
          <w:rFonts w:ascii="Arial" w:hAnsi="Arial" w:cs="Arial"/>
        </w:rPr>
        <w:t>1</w:t>
      </w:r>
      <w:r w:rsidR="001560C9">
        <w:rPr>
          <w:rFonts w:ascii="Arial" w:hAnsi="Arial" w:cs="Arial"/>
        </w:rPr>
        <w:t>8</w:t>
      </w:r>
      <w:r>
        <w:rPr>
          <w:rFonts w:ascii="Arial" w:hAnsi="Arial" w:cs="Arial"/>
        </w:rPr>
        <w:t>)</w:t>
      </w:r>
    </w:p>
    <w:p w:rsidR="000E5B3C" w:rsidRDefault="000E5B3C" w:rsidP="000E5B3C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2C287B" w:rsidRDefault="002C287B" w:rsidP="00AC6AF2">
      <w:pPr>
        <w:pStyle w:val="Zkladntextodsazen"/>
        <w:spacing w:after="120"/>
        <w:ind w:left="0"/>
        <w:jc w:val="both"/>
        <w:rPr>
          <w:rFonts w:ascii="Arial" w:hAnsi="Arial" w:cs="Arial"/>
        </w:rPr>
        <w:sectPr w:rsidR="002C287B" w:rsidSect="00EC01BB">
          <w:footerReference w:type="default" r:id="rId9"/>
          <w:pgSz w:w="11907" w:h="16840" w:code="9"/>
          <w:pgMar w:top="1134" w:right="1134" w:bottom="1134" w:left="1134" w:header="709" w:footer="377" w:gutter="0"/>
          <w:cols w:space="708"/>
          <w:docGrid w:linePitch="272"/>
        </w:sectPr>
      </w:pPr>
    </w:p>
    <w:p w:rsidR="0080261E" w:rsidRDefault="0080261E" w:rsidP="00AC6AF2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tbl>
      <w:tblPr>
        <w:tblW w:w="1587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2"/>
        <w:gridCol w:w="4991"/>
        <w:gridCol w:w="1559"/>
        <w:gridCol w:w="1134"/>
        <w:gridCol w:w="1560"/>
        <w:gridCol w:w="1275"/>
        <w:gridCol w:w="1480"/>
        <w:gridCol w:w="1355"/>
      </w:tblGrid>
      <w:tr w:rsidR="00500A3A" w:rsidRPr="00500A3A" w:rsidTr="00DE14CC">
        <w:trPr>
          <w:trHeight w:val="315"/>
        </w:trPr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500A3A">
              <w:rPr>
                <w:rFonts w:ascii="Tahoma" w:hAnsi="Tahoma" w:cs="Tahoma"/>
                <w:b/>
                <w:bCs/>
                <w:sz w:val="18"/>
                <w:szCs w:val="16"/>
              </w:rPr>
              <w:t>Žadatel</w:t>
            </w:r>
          </w:p>
        </w:tc>
        <w:tc>
          <w:tcPr>
            <w:tcW w:w="4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500A3A">
              <w:rPr>
                <w:rFonts w:ascii="Tahoma" w:hAnsi="Tahoma" w:cs="Tahoma"/>
                <w:b/>
                <w:bCs/>
                <w:sz w:val="18"/>
                <w:szCs w:val="16"/>
              </w:rPr>
              <w:t>Název akce/projektu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500A3A">
              <w:rPr>
                <w:rFonts w:ascii="Tahoma" w:hAnsi="Tahoma" w:cs="Tahoma"/>
                <w:b/>
                <w:bCs/>
                <w:sz w:val="18"/>
                <w:szCs w:val="16"/>
              </w:rPr>
              <w:t>Celkové předpokládané výdaje realizované akce/projektu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500A3A">
              <w:rPr>
                <w:rFonts w:ascii="Tahoma" w:hAnsi="Tahoma" w:cs="Tahoma"/>
                <w:b/>
                <w:bCs/>
                <w:sz w:val="18"/>
                <w:szCs w:val="16"/>
              </w:rPr>
              <w:t>Termín akce/ realizace projektu</w:t>
            </w:r>
            <w:r w:rsidRPr="00500A3A">
              <w:rPr>
                <w:rFonts w:ascii="Tahoma" w:hAnsi="Tahoma" w:cs="Tahoma"/>
                <w:b/>
                <w:bCs/>
                <w:sz w:val="18"/>
                <w:szCs w:val="16"/>
              </w:rPr>
              <w:br/>
              <w:t>OD - DO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500A3A">
              <w:rPr>
                <w:rFonts w:ascii="Tahoma" w:hAnsi="Tahoma" w:cs="Tahoma"/>
                <w:b/>
                <w:bCs/>
                <w:sz w:val="18"/>
                <w:szCs w:val="16"/>
              </w:rPr>
              <w:t>Požadovaná částka z rozpočtu OK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500A3A">
              <w:rPr>
                <w:rFonts w:ascii="Tahoma" w:hAnsi="Tahoma" w:cs="Tahoma"/>
                <w:b/>
                <w:bCs/>
                <w:sz w:val="18"/>
                <w:szCs w:val="16"/>
              </w:rPr>
              <w:t>Termín vyúčtování dotace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500A3A">
              <w:rPr>
                <w:rFonts w:ascii="Tahoma" w:hAnsi="Tahoma" w:cs="Tahoma"/>
                <w:b/>
                <w:bCs/>
                <w:sz w:val="18"/>
                <w:szCs w:val="16"/>
              </w:rPr>
              <w:t>Návrh</w:t>
            </w:r>
          </w:p>
        </w:tc>
        <w:tc>
          <w:tcPr>
            <w:tcW w:w="135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500A3A" w:rsidRPr="00500A3A" w:rsidRDefault="00500A3A" w:rsidP="00500A3A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500A3A">
              <w:rPr>
                <w:rFonts w:ascii="Tahoma" w:hAnsi="Tahoma" w:cs="Tahoma"/>
                <w:b/>
                <w:bCs/>
                <w:sz w:val="18"/>
                <w:szCs w:val="16"/>
              </w:rPr>
              <w:t>Schválení poskytnutí dotace v kompetenci</w:t>
            </w:r>
          </w:p>
        </w:tc>
      </w:tr>
      <w:tr w:rsidR="00500A3A" w:rsidRPr="00500A3A" w:rsidTr="00DE14CC">
        <w:trPr>
          <w:trHeight w:val="315"/>
        </w:trPr>
        <w:tc>
          <w:tcPr>
            <w:tcW w:w="2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0A3A" w:rsidRPr="00500A3A" w:rsidRDefault="00500A3A" w:rsidP="00500A3A">
            <w:pPr>
              <w:rPr>
                <w:rFonts w:ascii="Tahoma" w:hAnsi="Tahoma" w:cs="Tahoma"/>
                <w:b/>
                <w:bCs/>
                <w:sz w:val="18"/>
                <w:szCs w:val="16"/>
              </w:rPr>
            </w:pP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500A3A">
              <w:rPr>
                <w:rFonts w:ascii="Tahoma" w:hAnsi="Tahoma" w:cs="Tahoma"/>
                <w:b/>
                <w:bCs/>
                <w:sz w:val="18"/>
                <w:szCs w:val="16"/>
              </w:rPr>
              <w:t>Popis akce/projektu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00A3A" w:rsidRPr="00500A3A" w:rsidRDefault="00500A3A" w:rsidP="00500A3A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</w:p>
        </w:tc>
      </w:tr>
      <w:tr w:rsidR="00500A3A" w:rsidRPr="00500A3A" w:rsidTr="00DE14CC">
        <w:trPr>
          <w:trHeight w:val="435"/>
        </w:trPr>
        <w:tc>
          <w:tcPr>
            <w:tcW w:w="2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0A3A" w:rsidRPr="00500A3A" w:rsidRDefault="00500A3A" w:rsidP="00500A3A">
            <w:pPr>
              <w:rPr>
                <w:rFonts w:ascii="Tahoma" w:hAnsi="Tahoma" w:cs="Tahoma"/>
                <w:b/>
                <w:bCs/>
                <w:sz w:val="18"/>
                <w:szCs w:val="16"/>
              </w:rPr>
            </w:pP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500A3A">
              <w:rPr>
                <w:rFonts w:ascii="Tahoma" w:hAnsi="Tahoma" w:cs="Tahoma"/>
                <w:b/>
                <w:bCs/>
                <w:sz w:val="18"/>
                <w:szCs w:val="16"/>
              </w:rPr>
              <w:t>Účel použití dotace na akci/projekt/konkrétní účel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</w:p>
        </w:tc>
        <w:tc>
          <w:tcPr>
            <w:tcW w:w="1355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00A3A" w:rsidRPr="00500A3A" w:rsidRDefault="00500A3A" w:rsidP="00500A3A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</w:p>
        </w:tc>
      </w:tr>
      <w:tr w:rsidR="00500A3A" w:rsidRPr="00500A3A" w:rsidTr="00DE14CC">
        <w:trPr>
          <w:trHeight w:val="1236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3A" w:rsidRPr="00500A3A" w:rsidRDefault="00500A3A" w:rsidP="00500A3A">
            <w:pPr>
              <w:rPr>
                <w:rFonts w:ascii="Calibri" w:hAnsi="Calibri"/>
                <w:color w:val="000000"/>
                <w:sz w:val="18"/>
                <w:szCs w:val="16"/>
              </w:rPr>
            </w:pP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t>Regionální rada regionu soudržnosti Střední Morava</w:t>
            </w: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br/>
              <w:t>Jeremenkova 1211/40b</w:t>
            </w: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br/>
              <w:t>Olomouc</w:t>
            </w: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br/>
              <w:t>77900</w:t>
            </w:r>
          </w:p>
        </w:tc>
        <w:tc>
          <w:tcPr>
            <w:tcW w:w="4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00A3A" w:rsidRPr="00500A3A" w:rsidRDefault="00500A3A" w:rsidP="00500A3A">
            <w:pPr>
              <w:rPr>
                <w:rFonts w:ascii="Calibri" w:hAnsi="Calibri"/>
                <w:b/>
                <w:bCs/>
                <w:color w:val="000000"/>
                <w:sz w:val="18"/>
                <w:szCs w:val="16"/>
              </w:rPr>
            </w:pPr>
            <w:r w:rsidRPr="00500A3A">
              <w:rPr>
                <w:rFonts w:ascii="Calibri" w:hAnsi="Calibri"/>
                <w:b/>
                <w:bCs/>
                <w:color w:val="000000"/>
                <w:sz w:val="18"/>
                <w:szCs w:val="16"/>
              </w:rPr>
              <w:t>Žádost o poskytnutí individuální dotace na rok 2017 - nezpůsobilé výdaje z OP TP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Calibri" w:hAnsi="Calibri"/>
                <w:color w:val="000000"/>
                <w:sz w:val="18"/>
                <w:szCs w:val="16"/>
              </w:rPr>
            </w:pP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t>700 000,00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Calibri" w:hAnsi="Calibri"/>
                <w:color w:val="000000"/>
                <w:sz w:val="18"/>
                <w:szCs w:val="16"/>
              </w:rPr>
            </w:pP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t>1/17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Calibri" w:hAnsi="Calibri"/>
                <w:color w:val="000000"/>
                <w:sz w:val="18"/>
                <w:szCs w:val="16"/>
              </w:rPr>
            </w:pP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t>350 000,00 Kč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Calibri" w:hAnsi="Calibri"/>
                <w:color w:val="000000"/>
                <w:sz w:val="18"/>
                <w:szCs w:val="16"/>
              </w:rPr>
            </w:pPr>
            <w:r>
              <w:rPr>
                <w:rFonts w:ascii="Calibri" w:hAnsi="Calibri"/>
                <w:color w:val="000000"/>
                <w:sz w:val="18"/>
                <w:szCs w:val="16"/>
              </w:rPr>
              <w:t>3</w:t>
            </w: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t>0.</w:t>
            </w:r>
            <w:r>
              <w:rPr>
                <w:rFonts w:ascii="Calibri" w:hAnsi="Calibri"/>
                <w:color w:val="000000"/>
                <w:sz w:val="18"/>
                <w:szCs w:val="16"/>
              </w:rPr>
              <w:t> </w:t>
            </w: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t>1</w:t>
            </w:r>
            <w:r>
              <w:rPr>
                <w:rFonts w:ascii="Calibri" w:hAnsi="Calibri"/>
                <w:color w:val="000000"/>
                <w:sz w:val="18"/>
                <w:szCs w:val="16"/>
              </w:rPr>
              <w:t>. </w:t>
            </w: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t>2018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Calibri" w:hAnsi="Calibri"/>
                <w:color w:val="000000"/>
                <w:sz w:val="18"/>
                <w:szCs w:val="16"/>
              </w:rPr>
            </w:pP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t>350 000,00 Kč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A3A" w:rsidRPr="00500A3A" w:rsidRDefault="00500A3A" w:rsidP="00500A3A">
            <w:pPr>
              <w:jc w:val="center"/>
              <w:rPr>
                <w:rFonts w:ascii="Calibri" w:hAnsi="Calibri"/>
                <w:color w:val="000000"/>
                <w:sz w:val="18"/>
                <w:szCs w:val="16"/>
              </w:rPr>
            </w:pP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t>ZOK</w:t>
            </w:r>
          </w:p>
        </w:tc>
      </w:tr>
      <w:tr w:rsidR="00500A3A" w:rsidRPr="00500A3A" w:rsidTr="00DE14CC">
        <w:trPr>
          <w:trHeight w:val="1500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A3A" w:rsidRPr="00500A3A" w:rsidRDefault="00500A3A" w:rsidP="00500A3A">
            <w:pPr>
              <w:rPr>
                <w:rFonts w:ascii="Calibri" w:hAnsi="Calibri"/>
                <w:color w:val="000000"/>
                <w:sz w:val="18"/>
                <w:szCs w:val="16"/>
              </w:rPr>
            </w:pP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t xml:space="preserve">Okres </w:t>
            </w: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br/>
              <w:t>Právní forma</w:t>
            </w: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br/>
              <w:t>Regionální rada regionu soudržnosti</w:t>
            </w: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br/>
              <w:t>IČO 75084911</w:t>
            </w: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br/>
              <w:t xml:space="preserve"> B.Ú. 2296132/0800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00A3A" w:rsidRPr="00500A3A" w:rsidRDefault="00500A3A" w:rsidP="00500A3A">
            <w:pPr>
              <w:rPr>
                <w:rFonts w:ascii="Calibri" w:hAnsi="Calibri"/>
                <w:color w:val="000000"/>
                <w:sz w:val="18"/>
                <w:szCs w:val="16"/>
              </w:rPr>
            </w:pP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t>Regionální rada nedisponuje vlastními zdroji na financování tvorby sociálního fondu a financování nezpůsobilých výdajů z OP TP.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3A" w:rsidRPr="00500A3A" w:rsidRDefault="00500A3A" w:rsidP="00500A3A">
            <w:pPr>
              <w:rPr>
                <w:rFonts w:ascii="Calibri" w:hAnsi="Calibr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Calibri" w:hAnsi="Calibri"/>
                <w:color w:val="000000"/>
                <w:sz w:val="18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3A" w:rsidRPr="00500A3A" w:rsidRDefault="00500A3A" w:rsidP="00500A3A">
            <w:pPr>
              <w:rPr>
                <w:rFonts w:ascii="Calibri" w:hAnsi="Calibri"/>
                <w:color w:val="000000"/>
                <w:sz w:val="18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3A" w:rsidRPr="00500A3A" w:rsidRDefault="00500A3A" w:rsidP="00500A3A">
            <w:pPr>
              <w:rPr>
                <w:rFonts w:ascii="Calibri" w:hAnsi="Calibri"/>
                <w:color w:val="000000"/>
                <w:sz w:val="18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3A" w:rsidRPr="00500A3A" w:rsidRDefault="00500A3A" w:rsidP="00500A3A">
            <w:pPr>
              <w:rPr>
                <w:rFonts w:ascii="Calibri" w:hAnsi="Calibri"/>
                <w:color w:val="000000"/>
                <w:sz w:val="18"/>
                <w:szCs w:val="16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A3A" w:rsidRPr="00500A3A" w:rsidRDefault="00500A3A" w:rsidP="00500A3A">
            <w:pPr>
              <w:jc w:val="center"/>
              <w:rPr>
                <w:rFonts w:ascii="Calibri" w:hAnsi="Calibri"/>
                <w:color w:val="000000"/>
                <w:sz w:val="18"/>
                <w:szCs w:val="16"/>
              </w:rPr>
            </w:pPr>
          </w:p>
        </w:tc>
      </w:tr>
      <w:tr w:rsidR="00500A3A" w:rsidRPr="00500A3A" w:rsidTr="00DE14CC">
        <w:trPr>
          <w:trHeight w:val="600"/>
        </w:trPr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A3A" w:rsidRDefault="00500A3A" w:rsidP="00500A3A">
            <w:pPr>
              <w:rPr>
                <w:rFonts w:ascii="Calibri" w:hAnsi="Calibri"/>
                <w:color w:val="000000"/>
                <w:sz w:val="18"/>
                <w:szCs w:val="16"/>
              </w:rPr>
            </w:pP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t>Zástupce</w:t>
            </w:r>
            <w:r>
              <w:rPr>
                <w:rFonts w:ascii="Calibri" w:hAnsi="Calibri"/>
                <w:color w:val="000000"/>
                <w:sz w:val="18"/>
                <w:szCs w:val="16"/>
              </w:rPr>
              <w:t>:</w:t>
            </w:r>
          </w:p>
          <w:p w:rsidR="00500A3A" w:rsidRPr="00500A3A" w:rsidRDefault="00500A3A" w:rsidP="00500A3A">
            <w:pPr>
              <w:rPr>
                <w:rFonts w:ascii="Calibri" w:hAnsi="Calibri"/>
                <w:color w:val="000000"/>
                <w:sz w:val="18"/>
                <w:szCs w:val="16"/>
              </w:rPr>
            </w:pP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t>Ing. Michal Symerský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A3A" w:rsidRDefault="00500A3A" w:rsidP="00500A3A">
            <w:pPr>
              <w:rPr>
                <w:rFonts w:ascii="Calibri" w:hAnsi="Calibri"/>
                <w:color w:val="000000"/>
                <w:sz w:val="18"/>
                <w:szCs w:val="16"/>
              </w:rPr>
            </w:pP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t>Dotace bude použita na:</w:t>
            </w:r>
          </w:p>
          <w:p w:rsidR="00500A3A" w:rsidRPr="00500A3A" w:rsidRDefault="00500A3A" w:rsidP="00500A3A">
            <w:pPr>
              <w:rPr>
                <w:rFonts w:ascii="Calibri" w:hAnsi="Calibri"/>
                <w:color w:val="000000"/>
                <w:sz w:val="18"/>
                <w:szCs w:val="16"/>
              </w:rPr>
            </w:pP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t>nezpůsobilé výdaje z Operačního programu technická pomoc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3A" w:rsidRPr="00500A3A" w:rsidRDefault="00500A3A" w:rsidP="00500A3A">
            <w:pPr>
              <w:rPr>
                <w:rFonts w:ascii="Calibri" w:hAnsi="Calibr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Calibri" w:hAnsi="Calibri"/>
                <w:color w:val="000000"/>
                <w:sz w:val="18"/>
                <w:szCs w:val="16"/>
              </w:rPr>
            </w:pP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t>12/17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3A" w:rsidRPr="00500A3A" w:rsidRDefault="00500A3A" w:rsidP="00500A3A">
            <w:pPr>
              <w:rPr>
                <w:rFonts w:ascii="Calibri" w:hAnsi="Calibri"/>
                <w:color w:val="000000"/>
                <w:sz w:val="18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3A" w:rsidRPr="00500A3A" w:rsidRDefault="00500A3A" w:rsidP="00500A3A">
            <w:pPr>
              <w:rPr>
                <w:rFonts w:ascii="Calibri" w:hAnsi="Calibri"/>
                <w:color w:val="000000"/>
                <w:sz w:val="18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3A" w:rsidRPr="00500A3A" w:rsidRDefault="00500A3A" w:rsidP="00500A3A">
            <w:pPr>
              <w:rPr>
                <w:rFonts w:ascii="Calibri" w:hAnsi="Calibri"/>
                <w:color w:val="000000"/>
                <w:sz w:val="18"/>
                <w:szCs w:val="16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3A" w:rsidRPr="00500A3A" w:rsidRDefault="00500A3A" w:rsidP="00500A3A">
            <w:pPr>
              <w:jc w:val="center"/>
              <w:rPr>
                <w:rFonts w:ascii="Calibri" w:hAnsi="Calibri"/>
                <w:color w:val="000000"/>
                <w:sz w:val="18"/>
                <w:szCs w:val="16"/>
              </w:rPr>
            </w:pPr>
          </w:p>
        </w:tc>
      </w:tr>
    </w:tbl>
    <w:p w:rsidR="00DE14CC" w:rsidRDefault="00DE14CC">
      <w:r>
        <w:br w:type="page"/>
      </w:r>
    </w:p>
    <w:tbl>
      <w:tblPr>
        <w:tblW w:w="1587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2"/>
        <w:gridCol w:w="4991"/>
        <w:gridCol w:w="1559"/>
        <w:gridCol w:w="1134"/>
        <w:gridCol w:w="1560"/>
        <w:gridCol w:w="1275"/>
        <w:gridCol w:w="1480"/>
        <w:gridCol w:w="1355"/>
      </w:tblGrid>
      <w:tr w:rsidR="00DE14CC" w:rsidRPr="00500A3A" w:rsidTr="00DE14CC">
        <w:trPr>
          <w:trHeight w:val="315"/>
        </w:trPr>
        <w:tc>
          <w:tcPr>
            <w:tcW w:w="2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4CC" w:rsidRPr="00500A3A" w:rsidRDefault="00DE14CC" w:rsidP="00360C47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500A3A">
              <w:rPr>
                <w:rFonts w:ascii="Tahoma" w:hAnsi="Tahoma" w:cs="Tahoma"/>
                <w:b/>
                <w:bCs/>
                <w:sz w:val="18"/>
                <w:szCs w:val="16"/>
              </w:rPr>
              <w:lastRenderedPageBreak/>
              <w:t>Žadatel</w:t>
            </w:r>
          </w:p>
        </w:tc>
        <w:tc>
          <w:tcPr>
            <w:tcW w:w="4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4CC" w:rsidRPr="00500A3A" w:rsidRDefault="00DE14CC" w:rsidP="00360C47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500A3A">
              <w:rPr>
                <w:rFonts w:ascii="Tahoma" w:hAnsi="Tahoma" w:cs="Tahoma"/>
                <w:b/>
                <w:bCs/>
                <w:sz w:val="18"/>
                <w:szCs w:val="16"/>
              </w:rPr>
              <w:t>Název akce/projektu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4CC" w:rsidRPr="00500A3A" w:rsidRDefault="00DE14CC" w:rsidP="00360C47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500A3A">
              <w:rPr>
                <w:rFonts w:ascii="Tahoma" w:hAnsi="Tahoma" w:cs="Tahoma"/>
                <w:b/>
                <w:bCs/>
                <w:sz w:val="18"/>
                <w:szCs w:val="16"/>
              </w:rPr>
              <w:t>Celkové předpokládané výdaje realizované akce/projektu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4CC" w:rsidRPr="00500A3A" w:rsidRDefault="00DE14CC" w:rsidP="00360C47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500A3A">
              <w:rPr>
                <w:rFonts w:ascii="Tahoma" w:hAnsi="Tahoma" w:cs="Tahoma"/>
                <w:b/>
                <w:bCs/>
                <w:sz w:val="18"/>
                <w:szCs w:val="16"/>
              </w:rPr>
              <w:t>Termín akce/ realizace projektu</w:t>
            </w:r>
            <w:r w:rsidRPr="00500A3A">
              <w:rPr>
                <w:rFonts w:ascii="Tahoma" w:hAnsi="Tahoma" w:cs="Tahoma"/>
                <w:b/>
                <w:bCs/>
                <w:sz w:val="18"/>
                <w:szCs w:val="16"/>
              </w:rPr>
              <w:br/>
              <w:t>OD - DO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4CC" w:rsidRPr="00500A3A" w:rsidRDefault="00DE14CC" w:rsidP="00360C47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500A3A">
              <w:rPr>
                <w:rFonts w:ascii="Tahoma" w:hAnsi="Tahoma" w:cs="Tahoma"/>
                <w:b/>
                <w:bCs/>
                <w:sz w:val="18"/>
                <w:szCs w:val="16"/>
              </w:rPr>
              <w:t>Požadovaná částka z rozpočtu OK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14CC" w:rsidRPr="00500A3A" w:rsidRDefault="00DE14CC" w:rsidP="00360C47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500A3A">
              <w:rPr>
                <w:rFonts w:ascii="Tahoma" w:hAnsi="Tahoma" w:cs="Tahoma"/>
                <w:b/>
                <w:bCs/>
                <w:sz w:val="18"/>
                <w:szCs w:val="16"/>
              </w:rPr>
              <w:t>Termín vyúčtování dotace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4CC" w:rsidRPr="00500A3A" w:rsidRDefault="00DE14CC" w:rsidP="00360C47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500A3A">
              <w:rPr>
                <w:rFonts w:ascii="Tahoma" w:hAnsi="Tahoma" w:cs="Tahoma"/>
                <w:b/>
                <w:bCs/>
                <w:sz w:val="18"/>
                <w:szCs w:val="16"/>
              </w:rPr>
              <w:t>Návrh</w:t>
            </w:r>
          </w:p>
        </w:tc>
        <w:tc>
          <w:tcPr>
            <w:tcW w:w="135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DE14CC" w:rsidRPr="00500A3A" w:rsidRDefault="00DE14CC" w:rsidP="00360C47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500A3A">
              <w:rPr>
                <w:rFonts w:ascii="Tahoma" w:hAnsi="Tahoma" w:cs="Tahoma"/>
                <w:b/>
                <w:bCs/>
                <w:sz w:val="18"/>
                <w:szCs w:val="16"/>
              </w:rPr>
              <w:t>Schválení poskytnutí dotace v kompetenci</w:t>
            </w:r>
          </w:p>
        </w:tc>
      </w:tr>
      <w:tr w:rsidR="00DE14CC" w:rsidRPr="00500A3A" w:rsidTr="00DE14CC">
        <w:trPr>
          <w:trHeight w:val="315"/>
        </w:trPr>
        <w:tc>
          <w:tcPr>
            <w:tcW w:w="2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4CC" w:rsidRPr="00500A3A" w:rsidRDefault="00DE14CC" w:rsidP="00360C47">
            <w:pPr>
              <w:rPr>
                <w:rFonts w:ascii="Tahoma" w:hAnsi="Tahoma" w:cs="Tahoma"/>
                <w:b/>
                <w:bCs/>
                <w:sz w:val="18"/>
                <w:szCs w:val="16"/>
              </w:rPr>
            </w:pP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4CC" w:rsidRPr="00500A3A" w:rsidRDefault="00DE14CC" w:rsidP="00360C47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500A3A">
              <w:rPr>
                <w:rFonts w:ascii="Tahoma" w:hAnsi="Tahoma" w:cs="Tahoma"/>
                <w:b/>
                <w:bCs/>
                <w:sz w:val="18"/>
                <w:szCs w:val="16"/>
              </w:rPr>
              <w:t>Popis akce/projektu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4CC" w:rsidRPr="00500A3A" w:rsidRDefault="00DE14CC" w:rsidP="00360C47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4CC" w:rsidRPr="00500A3A" w:rsidRDefault="00DE14CC" w:rsidP="00360C47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4CC" w:rsidRPr="00500A3A" w:rsidRDefault="00DE14CC" w:rsidP="00360C47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14CC" w:rsidRPr="00500A3A" w:rsidRDefault="00DE14CC" w:rsidP="00360C47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4CC" w:rsidRPr="00500A3A" w:rsidRDefault="00DE14CC" w:rsidP="00360C47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</w:p>
        </w:tc>
        <w:tc>
          <w:tcPr>
            <w:tcW w:w="1355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DE14CC" w:rsidRPr="00500A3A" w:rsidRDefault="00DE14CC" w:rsidP="00360C47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</w:p>
        </w:tc>
      </w:tr>
      <w:tr w:rsidR="00DE14CC" w:rsidRPr="00500A3A" w:rsidTr="00DE14CC">
        <w:trPr>
          <w:trHeight w:val="435"/>
        </w:trPr>
        <w:tc>
          <w:tcPr>
            <w:tcW w:w="2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4CC" w:rsidRPr="00500A3A" w:rsidRDefault="00DE14CC" w:rsidP="00360C47">
            <w:pPr>
              <w:rPr>
                <w:rFonts w:ascii="Tahoma" w:hAnsi="Tahoma" w:cs="Tahoma"/>
                <w:b/>
                <w:bCs/>
                <w:sz w:val="18"/>
                <w:szCs w:val="16"/>
              </w:rPr>
            </w:pPr>
          </w:p>
        </w:tc>
        <w:tc>
          <w:tcPr>
            <w:tcW w:w="4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4CC" w:rsidRPr="00500A3A" w:rsidRDefault="00DE14CC" w:rsidP="00360C47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500A3A">
              <w:rPr>
                <w:rFonts w:ascii="Tahoma" w:hAnsi="Tahoma" w:cs="Tahoma"/>
                <w:b/>
                <w:bCs/>
                <w:sz w:val="18"/>
                <w:szCs w:val="16"/>
              </w:rPr>
              <w:t>Účel použití dotace na akci/projekt/konkrétní účel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4CC" w:rsidRPr="00500A3A" w:rsidRDefault="00DE14CC" w:rsidP="00360C47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4CC" w:rsidRPr="00500A3A" w:rsidRDefault="00DE14CC" w:rsidP="00360C47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4CC" w:rsidRPr="00500A3A" w:rsidRDefault="00DE14CC" w:rsidP="00360C47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14CC" w:rsidRPr="00500A3A" w:rsidRDefault="00DE14CC" w:rsidP="00360C47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14CC" w:rsidRPr="00500A3A" w:rsidRDefault="00DE14CC" w:rsidP="00360C47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</w:p>
        </w:tc>
        <w:tc>
          <w:tcPr>
            <w:tcW w:w="1355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E14CC" w:rsidRPr="00500A3A" w:rsidRDefault="00DE14CC" w:rsidP="00360C47">
            <w:pPr>
              <w:jc w:val="center"/>
              <w:rPr>
                <w:rFonts w:ascii="Tahoma" w:hAnsi="Tahoma" w:cs="Tahoma"/>
                <w:b/>
                <w:bCs/>
                <w:sz w:val="18"/>
                <w:szCs w:val="16"/>
              </w:rPr>
            </w:pPr>
          </w:p>
        </w:tc>
      </w:tr>
      <w:tr w:rsidR="00DE14CC" w:rsidRPr="00500A3A" w:rsidTr="00DE14CC">
        <w:trPr>
          <w:trHeight w:val="1421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A3A" w:rsidRPr="00500A3A" w:rsidRDefault="00500A3A" w:rsidP="00500A3A">
            <w:pPr>
              <w:rPr>
                <w:rFonts w:ascii="Calibri" w:hAnsi="Calibri"/>
                <w:color w:val="000000"/>
                <w:sz w:val="18"/>
                <w:szCs w:val="16"/>
              </w:rPr>
            </w:pP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t>Regionální agentura pro rozvoj střední Moravy</w:t>
            </w: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br/>
              <w:t>Horní náměstí 367/5</w:t>
            </w: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br/>
              <w:t>Olomouc</w:t>
            </w: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br/>
              <w:t>77900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00A3A" w:rsidRPr="00500A3A" w:rsidRDefault="00500A3A" w:rsidP="00500A3A">
            <w:pPr>
              <w:rPr>
                <w:rFonts w:ascii="Calibri" w:hAnsi="Calibri"/>
                <w:b/>
                <w:bCs/>
                <w:color w:val="000000"/>
                <w:sz w:val="18"/>
                <w:szCs w:val="16"/>
              </w:rPr>
            </w:pPr>
            <w:r w:rsidRPr="00500A3A">
              <w:rPr>
                <w:rFonts w:ascii="Calibri" w:hAnsi="Calibri"/>
                <w:b/>
                <w:bCs/>
                <w:color w:val="000000"/>
                <w:sz w:val="18"/>
                <w:szCs w:val="16"/>
              </w:rPr>
              <w:t>Činnost Regionální agentury pro rozvoj střední Moravy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Calibri" w:hAnsi="Calibri"/>
                <w:color w:val="000000"/>
                <w:sz w:val="18"/>
                <w:szCs w:val="16"/>
              </w:rPr>
            </w:pP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t>3 000 000,00 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Calibri" w:hAnsi="Calibri"/>
                <w:color w:val="000000"/>
                <w:sz w:val="18"/>
                <w:szCs w:val="16"/>
              </w:rPr>
            </w:pP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t>1/17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Calibri" w:hAnsi="Calibri"/>
                <w:color w:val="000000"/>
                <w:sz w:val="18"/>
                <w:szCs w:val="16"/>
              </w:rPr>
            </w:pP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t>1 500 000,00 Kč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Calibri" w:hAnsi="Calibri"/>
                <w:color w:val="000000"/>
                <w:sz w:val="18"/>
                <w:szCs w:val="16"/>
              </w:rPr>
            </w:pPr>
            <w:r>
              <w:rPr>
                <w:rFonts w:ascii="Calibri" w:hAnsi="Calibri"/>
                <w:color w:val="000000"/>
                <w:sz w:val="18"/>
                <w:szCs w:val="16"/>
              </w:rPr>
              <w:t>3</w:t>
            </w: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t>0.</w:t>
            </w:r>
            <w:r>
              <w:rPr>
                <w:rFonts w:ascii="Calibri" w:hAnsi="Calibri"/>
                <w:color w:val="000000"/>
                <w:sz w:val="18"/>
                <w:szCs w:val="16"/>
              </w:rPr>
              <w:t> </w:t>
            </w: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t>1.</w:t>
            </w:r>
            <w:r>
              <w:rPr>
                <w:rFonts w:ascii="Calibri" w:hAnsi="Calibri"/>
                <w:color w:val="000000"/>
                <w:sz w:val="18"/>
                <w:szCs w:val="16"/>
              </w:rPr>
              <w:t> 2018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Calibri" w:hAnsi="Calibri"/>
                <w:color w:val="000000"/>
                <w:sz w:val="18"/>
                <w:szCs w:val="16"/>
              </w:rPr>
            </w:pP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t>1 500 000,00 Kč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00A3A" w:rsidRPr="00500A3A" w:rsidRDefault="00500A3A" w:rsidP="00500A3A">
            <w:pPr>
              <w:jc w:val="center"/>
              <w:rPr>
                <w:rFonts w:ascii="Calibri" w:hAnsi="Calibri"/>
                <w:color w:val="000000"/>
                <w:sz w:val="18"/>
                <w:szCs w:val="16"/>
              </w:rPr>
            </w:pP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t>ZOK</w:t>
            </w:r>
          </w:p>
        </w:tc>
      </w:tr>
      <w:tr w:rsidR="00DE14CC" w:rsidRPr="00500A3A" w:rsidTr="00DE14CC">
        <w:trPr>
          <w:trHeight w:val="1555"/>
        </w:trPr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A3A" w:rsidRPr="00500A3A" w:rsidRDefault="00500A3A" w:rsidP="00500A3A">
            <w:pPr>
              <w:rPr>
                <w:rFonts w:ascii="Calibri" w:hAnsi="Calibri"/>
                <w:color w:val="000000"/>
                <w:sz w:val="18"/>
                <w:szCs w:val="16"/>
              </w:rPr>
            </w:pP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t xml:space="preserve">Okres </w:t>
            </w: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br/>
              <w:t>Právní forma</w:t>
            </w: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br/>
              <w:t>Zájmové sdružení právnických osob</w:t>
            </w: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br/>
              <w:t>IČO 64631109</w:t>
            </w: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br/>
              <w:t xml:space="preserve"> B.Ú. 4070002800/6800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500A3A" w:rsidRPr="00500A3A" w:rsidRDefault="00500A3A" w:rsidP="00500A3A">
            <w:pPr>
              <w:rPr>
                <w:rFonts w:ascii="Calibri" w:hAnsi="Calibri"/>
                <w:color w:val="000000"/>
                <w:sz w:val="18"/>
                <w:szCs w:val="16"/>
              </w:rPr>
            </w:pP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t>Cílem projektu je naplňovat jak rozvojové úkoly Olomouckého kraje, tak i společné zájmy svazku obcí Sdružení obcí střední Moravy, které svou členskou základnou tvoří cca 1/3 obcí OK.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3A" w:rsidRPr="00500A3A" w:rsidRDefault="00500A3A" w:rsidP="00500A3A">
            <w:pPr>
              <w:rPr>
                <w:rFonts w:ascii="Calibri" w:hAnsi="Calibr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Calibri" w:hAnsi="Calibri"/>
                <w:color w:val="000000"/>
                <w:sz w:val="18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3A" w:rsidRPr="00500A3A" w:rsidRDefault="00500A3A" w:rsidP="00500A3A">
            <w:pPr>
              <w:rPr>
                <w:rFonts w:ascii="Calibri" w:hAnsi="Calibri"/>
                <w:color w:val="000000"/>
                <w:sz w:val="18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3A" w:rsidRPr="00500A3A" w:rsidRDefault="00500A3A" w:rsidP="00500A3A">
            <w:pPr>
              <w:rPr>
                <w:rFonts w:ascii="Calibri" w:hAnsi="Calibri"/>
                <w:color w:val="000000"/>
                <w:sz w:val="18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3A" w:rsidRPr="00500A3A" w:rsidRDefault="00500A3A" w:rsidP="00500A3A">
            <w:pPr>
              <w:rPr>
                <w:rFonts w:ascii="Calibri" w:hAnsi="Calibri"/>
                <w:color w:val="000000"/>
                <w:sz w:val="18"/>
                <w:szCs w:val="16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A3A" w:rsidRPr="00500A3A" w:rsidRDefault="00500A3A" w:rsidP="00500A3A">
            <w:pPr>
              <w:rPr>
                <w:rFonts w:ascii="Calibri" w:hAnsi="Calibri"/>
                <w:color w:val="000000"/>
                <w:sz w:val="18"/>
                <w:szCs w:val="16"/>
              </w:rPr>
            </w:pPr>
          </w:p>
        </w:tc>
      </w:tr>
      <w:tr w:rsidR="00DE14CC" w:rsidRPr="00500A3A" w:rsidTr="00DE14CC">
        <w:trPr>
          <w:trHeight w:val="600"/>
        </w:trPr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A3A" w:rsidRDefault="00500A3A" w:rsidP="00500A3A">
            <w:pPr>
              <w:rPr>
                <w:rFonts w:ascii="Calibri" w:hAnsi="Calibri"/>
                <w:color w:val="000000"/>
                <w:sz w:val="18"/>
                <w:szCs w:val="16"/>
              </w:rPr>
            </w:pP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t>Zástupce</w:t>
            </w:r>
            <w:r>
              <w:rPr>
                <w:rFonts w:ascii="Calibri" w:hAnsi="Calibri"/>
                <w:color w:val="000000"/>
                <w:sz w:val="18"/>
                <w:szCs w:val="16"/>
              </w:rPr>
              <w:t>:</w:t>
            </w:r>
          </w:p>
          <w:p w:rsidR="00500A3A" w:rsidRPr="00500A3A" w:rsidRDefault="00500A3A" w:rsidP="00500A3A">
            <w:pPr>
              <w:rPr>
                <w:rFonts w:ascii="Calibri" w:hAnsi="Calibri"/>
                <w:color w:val="000000"/>
                <w:sz w:val="18"/>
                <w:szCs w:val="16"/>
              </w:rPr>
            </w:pP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t>Ing. Martin Kučer</w:t>
            </w:r>
            <w:r>
              <w:rPr>
                <w:rFonts w:ascii="Calibri" w:hAnsi="Calibri"/>
                <w:color w:val="000000"/>
                <w:sz w:val="18"/>
                <w:szCs w:val="16"/>
              </w:rPr>
              <w:t>a</w:t>
            </w: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t>, MBA, MPA</w:t>
            </w:r>
          </w:p>
        </w:tc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0A3A" w:rsidRPr="00500A3A" w:rsidRDefault="00500A3A" w:rsidP="00500A3A">
            <w:pPr>
              <w:pStyle w:val="Default"/>
              <w:jc w:val="both"/>
              <w:rPr>
                <w:rFonts w:ascii="Tahoma" w:hAnsi="Tahoma" w:cs="Tahoma"/>
                <w:color w:val="auto"/>
                <w:sz w:val="18"/>
                <w:szCs w:val="16"/>
              </w:rPr>
            </w:pPr>
            <w:r w:rsidRPr="00500A3A">
              <w:rPr>
                <w:rFonts w:ascii="Calibri" w:hAnsi="Calibri"/>
                <w:sz w:val="18"/>
                <w:szCs w:val="16"/>
              </w:rPr>
              <w:t>Dotace bude použita na:</w:t>
            </w:r>
          </w:p>
          <w:p w:rsidR="00500A3A" w:rsidRPr="00500A3A" w:rsidRDefault="00500A3A" w:rsidP="00500A3A">
            <w:pPr>
              <w:pStyle w:val="Default"/>
              <w:numPr>
                <w:ilvl w:val="0"/>
                <w:numId w:val="42"/>
              </w:numPr>
              <w:ind w:left="213" w:hanging="218"/>
              <w:jc w:val="both"/>
              <w:rPr>
                <w:rFonts w:asciiTheme="minorHAnsi" w:hAnsiTheme="minorHAnsi" w:cs="Tahoma"/>
                <w:color w:val="auto"/>
                <w:sz w:val="18"/>
                <w:szCs w:val="16"/>
              </w:rPr>
            </w:pPr>
            <w:r w:rsidRPr="00500A3A">
              <w:rPr>
                <w:rFonts w:asciiTheme="minorHAnsi" w:hAnsiTheme="minorHAnsi" w:cs="Tahoma"/>
                <w:color w:val="auto"/>
                <w:sz w:val="18"/>
                <w:szCs w:val="16"/>
              </w:rPr>
              <w:t>poskytování poradenských služeb na území Olomouckého kraje pro obce, včetně svazků, ve kterých jsou zúčastněny obce a jejich zřízené a založené organizace, a neziskové organizace v oblasti přípravy a řízení projektů, při přípravě nemovitostí pro rozvoj podnikání, včetně vyhledávání vhodných finančních zdrojů,</w:t>
            </w:r>
          </w:p>
          <w:p w:rsidR="00500A3A" w:rsidRPr="00500A3A" w:rsidRDefault="00500A3A" w:rsidP="00500A3A">
            <w:pPr>
              <w:pStyle w:val="Default"/>
              <w:numPr>
                <w:ilvl w:val="0"/>
                <w:numId w:val="42"/>
              </w:numPr>
              <w:ind w:left="213" w:hanging="218"/>
              <w:jc w:val="both"/>
              <w:rPr>
                <w:rFonts w:asciiTheme="minorHAnsi" w:hAnsiTheme="minorHAnsi" w:cs="Tahoma"/>
                <w:color w:val="auto"/>
                <w:sz w:val="18"/>
                <w:szCs w:val="16"/>
              </w:rPr>
            </w:pPr>
            <w:r w:rsidRPr="00500A3A">
              <w:rPr>
                <w:rFonts w:asciiTheme="minorHAnsi" w:hAnsiTheme="minorHAnsi" w:cs="Tahoma"/>
                <w:color w:val="auto"/>
                <w:sz w:val="18"/>
                <w:szCs w:val="16"/>
              </w:rPr>
              <w:t>pomoc při zpracování projektových žádostí nebo jejich částí, přípravě a realizaci zadávání veřejných zakázek pro obce, včetně svazků, ve kterých jsou zúčastněny obce a jejich zřízené a založené organizace, a neziskové organizace na území Olomouckého kraje,</w:t>
            </w:r>
          </w:p>
          <w:p w:rsidR="00500A3A" w:rsidRPr="00500A3A" w:rsidRDefault="00500A3A" w:rsidP="00500A3A">
            <w:pPr>
              <w:pStyle w:val="Default"/>
              <w:numPr>
                <w:ilvl w:val="0"/>
                <w:numId w:val="42"/>
              </w:numPr>
              <w:ind w:left="213" w:hanging="218"/>
              <w:jc w:val="both"/>
              <w:rPr>
                <w:rFonts w:asciiTheme="minorHAnsi" w:hAnsiTheme="minorHAnsi" w:cs="Tahoma"/>
                <w:color w:val="auto"/>
                <w:sz w:val="18"/>
                <w:szCs w:val="16"/>
              </w:rPr>
            </w:pPr>
            <w:r w:rsidRPr="00500A3A">
              <w:rPr>
                <w:rFonts w:asciiTheme="minorHAnsi" w:hAnsiTheme="minorHAnsi" w:cs="Tahoma"/>
                <w:color w:val="auto"/>
                <w:sz w:val="18"/>
                <w:szCs w:val="16"/>
              </w:rPr>
              <w:t>přípravu a realizaci vzdělávacích a osvětových aktivit pro obce, včetně svazků, ve kterých jsou zúčastněny obce a jejich zřízené a založené organizace, a neziskové organizace na území Olomouckého kraje v oblasti projektového managementu, legislativních povinností nebo veřejných zakázek,</w:t>
            </w:r>
          </w:p>
          <w:p w:rsidR="00500A3A" w:rsidRPr="00500A3A" w:rsidRDefault="00500A3A" w:rsidP="00500A3A">
            <w:pPr>
              <w:pStyle w:val="Default"/>
              <w:numPr>
                <w:ilvl w:val="0"/>
                <w:numId w:val="42"/>
              </w:numPr>
              <w:ind w:left="213" w:hanging="218"/>
              <w:jc w:val="both"/>
              <w:rPr>
                <w:rFonts w:asciiTheme="minorHAnsi" w:hAnsiTheme="minorHAnsi" w:cs="Tahoma"/>
                <w:color w:val="auto"/>
                <w:sz w:val="18"/>
                <w:szCs w:val="16"/>
              </w:rPr>
            </w:pPr>
            <w:r w:rsidRPr="00500A3A">
              <w:rPr>
                <w:rFonts w:asciiTheme="minorHAnsi" w:hAnsiTheme="minorHAnsi" w:cs="Tahoma"/>
                <w:color w:val="auto"/>
                <w:sz w:val="18"/>
                <w:szCs w:val="16"/>
              </w:rPr>
              <w:t>poradenství při startu podnikatelské činnosti a spolupráce při nalezení vhodných lokalit na území Olomouckého kraje,</w:t>
            </w:r>
          </w:p>
          <w:p w:rsidR="00500A3A" w:rsidRPr="00500A3A" w:rsidRDefault="00500A3A" w:rsidP="00500A3A">
            <w:pPr>
              <w:pStyle w:val="Default"/>
              <w:numPr>
                <w:ilvl w:val="0"/>
                <w:numId w:val="42"/>
              </w:numPr>
              <w:ind w:left="213" w:hanging="218"/>
              <w:jc w:val="both"/>
              <w:rPr>
                <w:rFonts w:ascii="Calibri" w:hAnsi="Calibri"/>
                <w:sz w:val="18"/>
                <w:szCs w:val="16"/>
              </w:rPr>
            </w:pPr>
            <w:r w:rsidRPr="00500A3A">
              <w:rPr>
                <w:rFonts w:asciiTheme="minorHAnsi" w:hAnsiTheme="minorHAnsi" w:cs="Tahoma"/>
                <w:color w:val="auto"/>
                <w:sz w:val="18"/>
                <w:szCs w:val="16"/>
              </w:rPr>
              <w:t>vyhledávání, poradenství při přípravě, příprava a spolupráce na realizaci přeshraničních a mezinárodních projektů se zapojením subjektů z Olomouckého kraje, včetně jednání se zahraničními partnery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3A" w:rsidRPr="00500A3A" w:rsidRDefault="00500A3A" w:rsidP="00500A3A">
            <w:pPr>
              <w:rPr>
                <w:rFonts w:ascii="Calibri" w:hAnsi="Calibri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0A3A" w:rsidRPr="00500A3A" w:rsidRDefault="00500A3A" w:rsidP="00500A3A">
            <w:pPr>
              <w:jc w:val="center"/>
              <w:rPr>
                <w:rFonts w:ascii="Calibri" w:hAnsi="Calibri"/>
                <w:color w:val="000000"/>
                <w:sz w:val="18"/>
                <w:szCs w:val="16"/>
              </w:rPr>
            </w:pPr>
            <w:r w:rsidRPr="00500A3A">
              <w:rPr>
                <w:rFonts w:ascii="Calibri" w:hAnsi="Calibri"/>
                <w:color w:val="000000"/>
                <w:sz w:val="18"/>
                <w:szCs w:val="16"/>
              </w:rPr>
              <w:t>12/17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3A" w:rsidRPr="00500A3A" w:rsidRDefault="00500A3A" w:rsidP="00500A3A">
            <w:pPr>
              <w:rPr>
                <w:rFonts w:ascii="Calibri" w:hAnsi="Calibri"/>
                <w:color w:val="000000"/>
                <w:sz w:val="18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3A" w:rsidRPr="00500A3A" w:rsidRDefault="00500A3A" w:rsidP="00500A3A">
            <w:pPr>
              <w:rPr>
                <w:rFonts w:ascii="Calibri" w:hAnsi="Calibri"/>
                <w:color w:val="000000"/>
                <w:sz w:val="18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A3A" w:rsidRPr="00500A3A" w:rsidRDefault="00500A3A" w:rsidP="00500A3A">
            <w:pPr>
              <w:rPr>
                <w:rFonts w:ascii="Calibri" w:hAnsi="Calibri"/>
                <w:color w:val="000000"/>
                <w:sz w:val="18"/>
                <w:szCs w:val="16"/>
              </w:rPr>
            </w:pP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3A" w:rsidRPr="00500A3A" w:rsidRDefault="00500A3A" w:rsidP="00500A3A">
            <w:pPr>
              <w:rPr>
                <w:rFonts w:ascii="Calibri" w:hAnsi="Calibri"/>
                <w:color w:val="000000"/>
                <w:sz w:val="18"/>
                <w:szCs w:val="16"/>
              </w:rPr>
            </w:pPr>
          </w:p>
        </w:tc>
      </w:tr>
    </w:tbl>
    <w:p w:rsidR="00500A3A" w:rsidRDefault="00500A3A" w:rsidP="00AC6AF2">
      <w:pPr>
        <w:pStyle w:val="Zkladntextodsazen"/>
        <w:spacing w:after="120"/>
        <w:ind w:left="0"/>
        <w:jc w:val="both"/>
        <w:rPr>
          <w:rFonts w:ascii="Arial" w:hAnsi="Arial" w:cs="Arial"/>
        </w:rPr>
        <w:sectPr w:rsidR="00500A3A" w:rsidSect="00BD1C7C">
          <w:headerReference w:type="default" r:id="rId10"/>
          <w:footerReference w:type="default" r:id="rId11"/>
          <w:pgSz w:w="16840" w:h="11907" w:orient="landscape" w:code="9"/>
          <w:pgMar w:top="1134" w:right="1134" w:bottom="1134" w:left="1134" w:header="709" w:footer="377" w:gutter="0"/>
          <w:cols w:space="708"/>
          <w:docGrid w:linePitch="272"/>
        </w:sectPr>
      </w:pPr>
    </w:p>
    <w:p w:rsidR="0080261E" w:rsidRDefault="0080261E" w:rsidP="00AC6AF2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80261E" w:rsidRDefault="0080261E" w:rsidP="00AC6AF2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p w:rsidR="007520BE" w:rsidRDefault="007520BE" w:rsidP="007520BE">
      <w:pPr>
        <w:spacing w:after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Smlouva o poskytnutí dotace</w:t>
      </w:r>
    </w:p>
    <w:p w:rsidR="007520BE" w:rsidRDefault="007520BE" w:rsidP="007520BE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hAnsi="Arial" w:cs="Arial"/>
          <w:i/>
        </w:rPr>
        <w:t xml:space="preserve"> </w:t>
      </w:r>
    </w:p>
    <w:p w:rsidR="007520BE" w:rsidRPr="001266E2" w:rsidRDefault="007520BE" w:rsidP="007520BE">
      <w:pPr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:rsidR="007520BE" w:rsidRPr="001266E2" w:rsidRDefault="007520BE" w:rsidP="007520BE">
      <w:pPr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:rsidR="007520BE" w:rsidRDefault="007520BE" w:rsidP="007520BE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Olomoucký kraj</w:t>
      </w:r>
    </w:p>
    <w:p w:rsidR="007520BE" w:rsidRDefault="007520BE" w:rsidP="007520BE">
      <w:pPr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Jeremenkova 40a, 779 11 Olomouc</w:t>
      </w:r>
    </w:p>
    <w:p w:rsidR="007520BE" w:rsidRDefault="007520BE" w:rsidP="007520B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60609460</w:t>
      </w:r>
    </w:p>
    <w:p w:rsidR="007520BE" w:rsidRDefault="007520BE" w:rsidP="007520B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CZ60609460</w:t>
      </w:r>
    </w:p>
    <w:p w:rsidR="007520BE" w:rsidRDefault="007520BE" w:rsidP="007520B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Zastoupený:  Bc. Pavlem Šoltysem, DiS, na základě usnesení Zastupitelstva Olomouckého kraje č. UZ/3/ … /2017 ze dne 27. 2. 2017</w:t>
      </w:r>
    </w:p>
    <w:p w:rsidR="004E134D" w:rsidRDefault="007520BE" w:rsidP="004E134D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  <w:r w:rsidR="004E134D">
        <w:rPr>
          <w:rFonts w:ascii="Arial" w:hAnsi="Arial" w:cs="Arial"/>
          <w:sz w:val="24"/>
          <w:szCs w:val="24"/>
        </w:rPr>
        <w:t xml:space="preserve">Komerční banka, a. s., č. ú. </w:t>
      </w:r>
      <w:r w:rsidR="004E134D" w:rsidRPr="004E134D">
        <w:rPr>
          <w:rFonts w:ascii="Arial" w:hAnsi="Arial" w:cs="Arial"/>
          <w:sz w:val="24"/>
          <w:szCs w:val="24"/>
        </w:rPr>
        <w:t>27-4228330207/0100</w:t>
      </w:r>
    </w:p>
    <w:p w:rsidR="007520BE" w:rsidRDefault="007520BE" w:rsidP="004E134D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</w:t>
      </w:r>
      <w:r>
        <w:rPr>
          <w:rFonts w:ascii="Arial" w:hAnsi="Arial" w:cs="Arial"/>
          <w:b/>
          <w:bCs/>
          <w:sz w:val="24"/>
          <w:szCs w:val="24"/>
        </w:rPr>
        <w:t>poskytovatel</w:t>
      </w:r>
      <w:r>
        <w:rPr>
          <w:rFonts w:ascii="Arial" w:hAnsi="Arial" w:cs="Arial"/>
          <w:bCs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)</w:t>
      </w:r>
    </w:p>
    <w:p w:rsidR="007520BE" w:rsidRDefault="007520BE" w:rsidP="007520BE">
      <w:pPr>
        <w:spacing w:after="120"/>
        <w:rPr>
          <w:rFonts w:ascii="Arial" w:hAnsi="Arial" w:cs="Arial"/>
          <w:sz w:val="24"/>
          <w:szCs w:val="24"/>
        </w:rPr>
      </w:pPr>
    </w:p>
    <w:p w:rsidR="007520BE" w:rsidRDefault="007520BE" w:rsidP="007520BE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</w:p>
    <w:p w:rsidR="007520BE" w:rsidRDefault="007520BE" w:rsidP="007520BE">
      <w:pPr>
        <w:spacing w:after="120"/>
        <w:rPr>
          <w:rFonts w:ascii="Arial" w:hAnsi="Arial" w:cs="Arial"/>
          <w:sz w:val="24"/>
          <w:szCs w:val="24"/>
        </w:rPr>
      </w:pPr>
    </w:p>
    <w:p w:rsidR="007520BE" w:rsidRDefault="007520BE" w:rsidP="007520BE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r w:rsidRPr="007520BE">
        <w:rPr>
          <w:rFonts w:ascii="Arial" w:hAnsi="Arial" w:cs="Arial"/>
          <w:b/>
          <w:bCs/>
          <w:sz w:val="24"/>
          <w:szCs w:val="24"/>
        </w:rPr>
        <w:t>Regionální rada regionu soudržnosti Střední Morava</w:t>
      </w:r>
    </w:p>
    <w:p w:rsidR="007520BE" w:rsidRDefault="007520BE" w:rsidP="007520BE">
      <w:pPr>
        <w:spacing w:after="120"/>
        <w:rPr>
          <w:rFonts w:ascii="Arial" w:hAnsi="Arial" w:cs="Arial"/>
          <w:sz w:val="24"/>
          <w:szCs w:val="24"/>
        </w:rPr>
      </w:pPr>
      <w:r w:rsidRPr="007520BE">
        <w:rPr>
          <w:rFonts w:ascii="Arial" w:hAnsi="Arial" w:cs="Arial"/>
          <w:sz w:val="24"/>
          <w:szCs w:val="24"/>
        </w:rPr>
        <w:t>Jeremenkova 1211/40b</w:t>
      </w:r>
      <w:r>
        <w:rPr>
          <w:rFonts w:ascii="Arial" w:hAnsi="Arial" w:cs="Arial"/>
          <w:sz w:val="24"/>
          <w:szCs w:val="24"/>
        </w:rPr>
        <w:t>,</w:t>
      </w:r>
      <w:r w:rsidRPr="007520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77900 Olomouc - Hodolany</w:t>
      </w:r>
    </w:p>
    <w:p w:rsidR="007520BE" w:rsidRDefault="007520BE" w:rsidP="007520B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IČ: </w:t>
      </w:r>
      <w:r w:rsidRPr="007520BE">
        <w:rPr>
          <w:rFonts w:ascii="Arial" w:hAnsi="Arial" w:cs="Arial"/>
          <w:sz w:val="24"/>
          <w:szCs w:val="24"/>
        </w:rPr>
        <w:t>75084911</w:t>
      </w:r>
    </w:p>
    <w:p w:rsidR="007520BE" w:rsidRDefault="007520BE" w:rsidP="007520B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Zastoupený:  </w:t>
      </w:r>
      <w:r w:rsidR="00005E65" w:rsidRPr="00005E65">
        <w:rPr>
          <w:rFonts w:ascii="Arial" w:hAnsi="Arial" w:cs="Arial"/>
          <w:sz w:val="24"/>
          <w:szCs w:val="24"/>
        </w:rPr>
        <w:t>Ing. Michal</w:t>
      </w:r>
      <w:r w:rsidR="00005E65">
        <w:rPr>
          <w:rFonts w:ascii="Arial" w:hAnsi="Arial" w:cs="Arial"/>
          <w:sz w:val="24"/>
          <w:szCs w:val="24"/>
        </w:rPr>
        <w:t>em</w:t>
      </w:r>
      <w:r w:rsidR="00005E65" w:rsidRPr="00005E65">
        <w:rPr>
          <w:rFonts w:ascii="Arial" w:hAnsi="Arial" w:cs="Arial"/>
          <w:sz w:val="24"/>
          <w:szCs w:val="24"/>
        </w:rPr>
        <w:t xml:space="preserve"> Symerský</w:t>
      </w:r>
      <w:r w:rsidR="00005E6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, </w:t>
      </w:r>
      <w:r w:rsidR="00005E65">
        <w:rPr>
          <w:rFonts w:ascii="Arial" w:hAnsi="Arial" w:cs="Arial"/>
          <w:sz w:val="24"/>
          <w:szCs w:val="24"/>
        </w:rPr>
        <w:t>předsedou</w:t>
      </w:r>
      <w:r>
        <w:rPr>
          <w:rFonts w:ascii="Arial" w:hAnsi="Arial" w:cs="Arial"/>
          <w:sz w:val="24"/>
          <w:szCs w:val="24"/>
        </w:rPr>
        <w:t xml:space="preserve"> Regionální rady regionu soudržnosti Střední Morava na základě </w:t>
      </w:r>
      <w:r w:rsidR="00776BC3">
        <w:rPr>
          <w:rFonts w:ascii="Arial" w:hAnsi="Arial" w:cs="Arial"/>
          <w:sz w:val="24"/>
          <w:szCs w:val="24"/>
        </w:rPr>
        <w:t xml:space="preserve">zvolení usnesením č. 362/VRR28/16 </w:t>
      </w:r>
      <w:r w:rsidR="00CC62F2">
        <w:rPr>
          <w:rFonts w:ascii="Arial" w:hAnsi="Arial" w:cs="Arial"/>
          <w:sz w:val="24"/>
          <w:szCs w:val="24"/>
        </w:rPr>
        <w:t xml:space="preserve">ze dne </w:t>
      </w:r>
      <w:r w:rsidR="00776BC3">
        <w:rPr>
          <w:rFonts w:ascii="Arial" w:hAnsi="Arial" w:cs="Arial"/>
          <w:sz w:val="24"/>
          <w:szCs w:val="24"/>
        </w:rPr>
        <w:t>10. 2. 2016</w:t>
      </w:r>
    </w:p>
    <w:p w:rsidR="007520BE" w:rsidRDefault="007520BE" w:rsidP="007520B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Zapsané v</w:t>
      </w:r>
      <w:r w:rsidR="00A41DE8">
        <w:rPr>
          <w:rFonts w:ascii="Arial" w:hAnsi="Arial" w:cs="Arial"/>
          <w:sz w:val="24"/>
          <w:szCs w:val="24"/>
        </w:rPr>
        <w:t> Registru ekonomických subjektů ČSÚ dne 1. 7. 2006</w:t>
      </w:r>
    </w:p>
    <w:p w:rsidR="007520BE" w:rsidRDefault="007520BE" w:rsidP="007520B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Bankovní spojení:</w:t>
      </w:r>
      <w:r w:rsidR="00A41DE8">
        <w:rPr>
          <w:rFonts w:ascii="Arial" w:hAnsi="Arial" w:cs="Arial"/>
          <w:sz w:val="24"/>
          <w:szCs w:val="24"/>
        </w:rPr>
        <w:t xml:space="preserve"> Česká spořitelna, a. s., č. ú. </w:t>
      </w:r>
      <w:r w:rsidR="00A41DE8" w:rsidRPr="00A41DE8">
        <w:rPr>
          <w:rFonts w:ascii="Arial" w:hAnsi="Arial" w:cs="Arial"/>
          <w:sz w:val="24"/>
          <w:szCs w:val="24"/>
        </w:rPr>
        <w:t>2296132</w:t>
      </w:r>
      <w:r w:rsidR="00A41DE8">
        <w:rPr>
          <w:rFonts w:ascii="Arial" w:hAnsi="Arial" w:cs="Arial"/>
          <w:sz w:val="24"/>
          <w:szCs w:val="24"/>
        </w:rPr>
        <w:t>/0800</w:t>
      </w:r>
    </w:p>
    <w:p w:rsidR="007520BE" w:rsidRDefault="007520BE" w:rsidP="007520B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</w:t>
      </w:r>
      <w:r>
        <w:rPr>
          <w:rFonts w:ascii="Arial" w:hAnsi="Arial" w:cs="Arial"/>
          <w:bCs/>
          <w:sz w:val="24"/>
          <w:szCs w:val="24"/>
        </w:rPr>
        <w:t>příjemce“</w:t>
      </w:r>
      <w:r>
        <w:rPr>
          <w:rFonts w:ascii="Arial" w:hAnsi="Arial" w:cs="Arial"/>
          <w:sz w:val="24"/>
          <w:szCs w:val="24"/>
        </w:rPr>
        <w:t>)</w:t>
      </w:r>
    </w:p>
    <w:p w:rsidR="007520BE" w:rsidRDefault="007520BE" w:rsidP="007520BE">
      <w:pPr>
        <w:spacing w:after="120"/>
        <w:rPr>
          <w:rFonts w:ascii="Arial" w:hAnsi="Arial" w:cs="Arial"/>
          <w:sz w:val="24"/>
          <w:szCs w:val="24"/>
        </w:rPr>
      </w:pPr>
    </w:p>
    <w:p w:rsidR="007520BE" w:rsidRDefault="007520BE" w:rsidP="007520BE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  <w:r>
        <w:rPr>
          <w:rFonts w:ascii="Arial" w:hAnsi="Arial" w:cs="Arial"/>
          <w:b/>
          <w:bCs/>
          <w:sz w:val="24"/>
          <w:szCs w:val="24"/>
        </w:rPr>
        <w:br/>
        <w:t>tuto smlouvu o poskytnutí dotace:</w:t>
      </w:r>
    </w:p>
    <w:p w:rsidR="007520BE" w:rsidRDefault="007520BE" w:rsidP="007520BE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</w:t>
      </w:r>
    </w:p>
    <w:p w:rsidR="007520BE" w:rsidRPr="00285125" w:rsidRDefault="007520BE" w:rsidP="00722D0C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Poskytovatel se na základě této smlouvy zavazuje pos</w:t>
      </w:r>
      <w:r w:rsidR="00722D0C">
        <w:rPr>
          <w:rFonts w:ascii="Arial" w:hAnsi="Arial" w:cs="Arial"/>
          <w:sz w:val="24"/>
          <w:szCs w:val="24"/>
        </w:rPr>
        <w:t>kytnout příjemci dotaci ve výši 350 000 </w:t>
      </w:r>
      <w:r>
        <w:rPr>
          <w:rFonts w:ascii="Arial" w:hAnsi="Arial" w:cs="Arial"/>
          <w:sz w:val="24"/>
          <w:szCs w:val="24"/>
        </w:rPr>
        <w:t xml:space="preserve">Kč, slovy: </w:t>
      </w:r>
      <w:r w:rsidR="00722D0C">
        <w:rPr>
          <w:rFonts w:ascii="Arial" w:hAnsi="Arial" w:cs="Arial"/>
          <w:sz w:val="24"/>
          <w:szCs w:val="24"/>
        </w:rPr>
        <w:t>třistapadesáttisíc</w:t>
      </w:r>
      <w:r>
        <w:rPr>
          <w:rFonts w:ascii="Arial" w:hAnsi="Arial" w:cs="Arial"/>
          <w:sz w:val="24"/>
          <w:szCs w:val="24"/>
        </w:rPr>
        <w:t xml:space="preserve">korun českých (dále jen „dotace“) za účelem </w:t>
      </w:r>
      <w:r w:rsidR="00722D0C" w:rsidRPr="00722D0C">
        <w:rPr>
          <w:rFonts w:ascii="Arial" w:hAnsi="Arial" w:cs="Arial"/>
          <w:sz w:val="24"/>
          <w:szCs w:val="24"/>
        </w:rPr>
        <w:t>Individuální dotace z rozpočtu Olomouckého kraje 2017 v oblasti strategického rozvoje kraje.</w:t>
      </w:r>
    </w:p>
    <w:p w:rsidR="007520BE" w:rsidRPr="00722D0C" w:rsidRDefault="007520BE" w:rsidP="00722D0C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22D0C">
        <w:rPr>
          <w:rFonts w:ascii="Arial" w:hAnsi="Arial" w:cs="Arial"/>
          <w:sz w:val="24"/>
          <w:szCs w:val="24"/>
        </w:rPr>
        <w:t>Účelem poskytnutí dotace je</w:t>
      </w:r>
      <w:r w:rsidRPr="00722D0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722D0C">
        <w:rPr>
          <w:rFonts w:ascii="Arial" w:hAnsi="Arial" w:cs="Arial"/>
          <w:sz w:val="24"/>
          <w:szCs w:val="24"/>
        </w:rPr>
        <w:t>částečná úhrada výdajů na celoroční činnost</w:t>
      </w:r>
      <w:r w:rsidR="00722D0C" w:rsidRPr="00722D0C">
        <w:rPr>
          <w:rFonts w:ascii="Arial" w:hAnsi="Arial" w:cs="Arial"/>
          <w:sz w:val="24"/>
          <w:szCs w:val="24"/>
        </w:rPr>
        <w:t>, konkrétně na nezpůsobilé výdaje z</w:t>
      </w:r>
      <w:r w:rsidR="008778EC">
        <w:rPr>
          <w:rFonts w:ascii="Arial" w:hAnsi="Arial" w:cs="Arial"/>
          <w:sz w:val="24"/>
          <w:szCs w:val="24"/>
        </w:rPr>
        <w:t> Operačního programu technická pomoc</w:t>
      </w:r>
      <w:r w:rsidR="00722D0C">
        <w:rPr>
          <w:rFonts w:ascii="Arial" w:hAnsi="Arial" w:cs="Arial"/>
          <w:sz w:val="24"/>
          <w:szCs w:val="24"/>
        </w:rPr>
        <w:t>.</w:t>
      </w:r>
    </w:p>
    <w:p w:rsidR="007520BE" w:rsidRDefault="007520BE" w:rsidP="007520BE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Dotace bude poskytnuta převodem na bankovní účet příjemce uvedený v záhlaví této smlouvy do 21 dnů ode dne nabytí účinnosti této smlouvy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Za den poskytnutí dotace se pro účely této smlouvy považuje den odepsání finančních prostředků z účtu poskytovatele ve prospěch účtu příjemce</w:t>
      </w:r>
      <w:r w:rsidR="008B57FE">
        <w:rPr>
          <w:rFonts w:ascii="Arial" w:hAnsi="Arial" w:cs="Arial"/>
          <w:sz w:val="24"/>
          <w:szCs w:val="24"/>
        </w:rPr>
        <w:t>.</w:t>
      </w:r>
    </w:p>
    <w:p w:rsidR="007520BE" w:rsidRPr="00F82A1A" w:rsidRDefault="007520BE" w:rsidP="007520BE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82A1A">
        <w:rPr>
          <w:rFonts w:ascii="Arial" w:hAnsi="Arial" w:cs="Arial"/>
          <w:sz w:val="24"/>
          <w:szCs w:val="24"/>
        </w:rPr>
        <w:t>Dotace se poskytuje na účel stanovený v čl. I odst. 2 této smlouvy jako dotace neinvestiční</w:t>
      </w:r>
      <w:r w:rsidRPr="00F82A1A">
        <w:rPr>
          <w:rFonts w:ascii="Arial" w:hAnsi="Arial" w:cs="Arial"/>
          <w:i/>
          <w:iCs/>
          <w:sz w:val="24"/>
          <w:szCs w:val="24"/>
        </w:rPr>
        <w:t>.</w:t>
      </w:r>
    </w:p>
    <w:p w:rsidR="007520BE" w:rsidRPr="00F82A1A" w:rsidRDefault="007520BE" w:rsidP="007520BE">
      <w:pPr>
        <w:spacing w:after="120"/>
        <w:ind w:left="567"/>
        <w:rPr>
          <w:rFonts w:ascii="Arial" w:hAnsi="Arial" w:cs="Arial"/>
          <w:sz w:val="24"/>
          <w:szCs w:val="24"/>
        </w:rPr>
      </w:pPr>
      <w:r w:rsidRPr="00F82A1A">
        <w:rPr>
          <w:rFonts w:ascii="Arial" w:hAnsi="Arial" w:cs="Arial"/>
          <w:sz w:val="24"/>
          <w:szCs w:val="24"/>
        </w:rPr>
        <w:t>Pro účely této smlouvy se neinvestiční dotací rozumí dotace, která musí být použita na úhradu jiných výdajů než:</w:t>
      </w:r>
    </w:p>
    <w:p w:rsidR="007520BE" w:rsidRPr="00F82A1A" w:rsidRDefault="007520BE" w:rsidP="007520BE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F82A1A">
        <w:rPr>
          <w:rFonts w:ascii="Arial" w:hAnsi="Arial" w:cs="Arial"/>
          <w:sz w:val="24"/>
          <w:szCs w:val="24"/>
        </w:rPr>
        <w:t>výdajů spojených s pořízením hmotného majetku dle § 26 odst. 2 zákona č. 586/1992 Sb., o daních z příjmů, ve znění pozdějších předpisů (dále jen „cit. zákona“),</w:t>
      </w:r>
    </w:p>
    <w:p w:rsidR="007520BE" w:rsidRPr="00F82A1A" w:rsidRDefault="007520BE" w:rsidP="007520BE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F82A1A">
        <w:rPr>
          <w:rFonts w:ascii="Arial" w:hAnsi="Arial" w:cs="Arial"/>
          <w:sz w:val="24"/>
          <w:szCs w:val="24"/>
        </w:rPr>
        <w:t>výdajů spojených s pořízením nehmotného majetku dle § 32a odst. 1 a 2 cit. zákona,</w:t>
      </w:r>
    </w:p>
    <w:p w:rsidR="007520BE" w:rsidRPr="00F82A1A" w:rsidRDefault="007520BE" w:rsidP="00C45A1B">
      <w:pPr>
        <w:numPr>
          <w:ilvl w:val="0"/>
          <w:numId w:val="3"/>
        </w:numPr>
        <w:tabs>
          <w:tab w:val="clear" w:pos="360"/>
        </w:tabs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F82A1A">
        <w:rPr>
          <w:rFonts w:ascii="Arial" w:hAnsi="Arial" w:cs="Arial"/>
          <w:sz w:val="24"/>
          <w:szCs w:val="24"/>
        </w:rPr>
        <w:t>výdajů spojených s technickým zhodnocením, rekonstrukcí a modernizací ve smyslu § 33 cit. zákona.</w:t>
      </w:r>
    </w:p>
    <w:p w:rsidR="007520BE" w:rsidRDefault="007520BE" w:rsidP="007520BE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</w:t>
      </w:r>
    </w:p>
    <w:p w:rsidR="007520BE" w:rsidRDefault="007520BE" w:rsidP="00C45A1B">
      <w:pPr>
        <w:numPr>
          <w:ilvl w:val="0"/>
          <w:numId w:val="31"/>
        </w:numPr>
        <w:tabs>
          <w:tab w:val="left" w:pos="810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C45A1B">
        <w:rPr>
          <w:rFonts w:ascii="Arial" w:hAnsi="Arial" w:cs="Arial"/>
          <w:sz w:val="24"/>
          <w:szCs w:val="24"/>
        </w:rPr>
        <w:t xml:space="preserve">e </w:t>
      </w:r>
      <w:r w:rsidR="00C45A1B" w:rsidRPr="00C45A1B">
        <w:rPr>
          <w:rFonts w:ascii="Arial" w:hAnsi="Arial" w:cs="Arial"/>
          <w:sz w:val="24"/>
          <w:szCs w:val="24"/>
        </w:rPr>
        <w:t>Zásad</w:t>
      </w:r>
      <w:r w:rsidR="00C45A1B">
        <w:rPr>
          <w:rFonts w:ascii="Arial" w:hAnsi="Arial" w:cs="Arial"/>
          <w:sz w:val="24"/>
          <w:szCs w:val="24"/>
        </w:rPr>
        <w:t>ami</w:t>
      </w:r>
      <w:r w:rsidR="00C45A1B" w:rsidRPr="00C45A1B">
        <w:rPr>
          <w:rFonts w:ascii="Arial" w:hAnsi="Arial" w:cs="Arial"/>
          <w:sz w:val="24"/>
          <w:szCs w:val="24"/>
        </w:rPr>
        <w:t xml:space="preserve"> pro poskytování individuálních dotací z rozpočtu Olomouckého kraje v roce 2017</w:t>
      </w:r>
      <w:r w:rsidRPr="001235B9">
        <w:rPr>
          <w:rFonts w:ascii="Arial" w:hAnsi="Arial" w:cs="Arial"/>
          <w:iCs/>
          <w:sz w:val="24"/>
          <w:szCs w:val="24"/>
        </w:rPr>
        <w:t xml:space="preserve"> (dále také jen „Pravidla“). </w:t>
      </w:r>
      <w:r w:rsidRPr="001235B9">
        <w:rPr>
          <w:rFonts w:ascii="Arial" w:hAnsi="Arial" w:cs="Arial"/>
          <w:sz w:val="24"/>
          <w:szCs w:val="24"/>
        </w:rPr>
        <w:t xml:space="preserve">Dotace musí </w:t>
      </w:r>
      <w:r>
        <w:rPr>
          <w:rFonts w:ascii="Arial" w:hAnsi="Arial" w:cs="Arial"/>
          <w:sz w:val="24"/>
          <w:szCs w:val="24"/>
        </w:rPr>
        <w:t xml:space="preserve">být použita hospodárně. </w:t>
      </w:r>
    </w:p>
    <w:p w:rsidR="007520BE" w:rsidRDefault="007520BE" w:rsidP="00C45A1B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7520BE" w:rsidRPr="00007016" w:rsidRDefault="007520BE" w:rsidP="00C45A1B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007016">
        <w:rPr>
          <w:rFonts w:ascii="Arial" w:hAnsi="Arial" w:cs="Arial"/>
          <w:iCs/>
          <w:sz w:val="24"/>
          <w:szCs w:val="24"/>
        </w:rPr>
        <w:t>V případě, že se příjemce stane plátcem DPH v průběhu čerpání dotace a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jeho právo uplatnit odpočet DPH při registraci podle §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79 ZDPH se vztahuje na zdanitelná plnění hrazená včetně příslušné DPH z dotace, je příjemce povinen snížit výši dosud čerpané dotace o výši daně z přidané hodnoty</w:t>
      </w:r>
      <w:r w:rsidR="00C45A1B">
        <w:rPr>
          <w:rFonts w:ascii="Arial" w:hAnsi="Arial" w:cs="Arial"/>
          <w:iCs/>
          <w:sz w:val="24"/>
          <w:szCs w:val="24"/>
        </w:rPr>
        <w:t>, kterou je příjemce oprávněn v </w:t>
      </w:r>
      <w:r w:rsidRPr="00007016">
        <w:rPr>
          <w:rFonts w:ascii="Arial" w:hAnsi="Arial" w:cs="Arial"/>
          <w:iCs/>
          <w:sz w:val="24"/>
          <w:szCs w:val="24"/>
        </w:rPr>
        <w:t>souladu §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79 ZDPH uplatnit v prvním daňovém přiznání po registraci k DPH.</w:t>
      </w:r>
    </w:p>
    <w:p w:rsidR="007520BE" w:rsidRPr="00007016" w:rsidRDefault="007520BE" w:rsidP="00C45A1B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007016">
        <w:rPr>
          <w:rFonts w:ascii="Arial" w:hAnsi="Arial" w:cs="Arial"/>
          <w:iCs/>
          <w:sz w:val="24"/>
          <w:szCs w:val="24"/>
        </w:rPr>
        <w:t>V případě, že dojde k registraci příjemce k DPH a příjemce při registraci podle §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7520BE" w:rsidRDefault="007520BE" w:rsidP="00C45A1B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FF0879">
        <w:rPr>
          <w:rFonts w:ascii="Arial" w:hAnsi="Arial" w:cs="Arial"/>
          <w:iCs/>
          <w:sz w:val="24"/>
          <w:szCs w:val="24"/>
        </w:rPr>
        <w:t xml:space="preserve">Pokud má příjemce (plátce daně) ve </w:t>
      </w:r>
      <w:r w:rsidRPr="00C8040A">
        <w:rPr>
          <w:rFonts w:ascii="Arial" w:hAnsi="Arial" w:cs="Arial"/>
          <w:iCs/>
          <w:sz w:val="24"/>
          <w:szCs w:val="24"/>
        </w:rPr>
        <w:t>shodě s opravou odpočtu podle § 75 ZDPH, vypořádáním odpočtu podle § 76 ZDPH a úpravou odpočtu</w:t>
      </w:r>
      <w:r w:rsidRPr="00FF0879">
        <w:rPr>
          <w:rFonts w:ascii="Arial" w:hAnsi="Arial" w:cs="Arial"/>
          <w:iCs/>
          <w:sz w:val="24"/>
          <w:szCs w:val="24"/>
        </w:rPr>
        <w:t xml:space="preserve"> podle </w:t>
      </w:r>
      <w:r w:rsidRPr="00FF0879">
        <w:rPr>
          <w:rFonts w:ascii="Arial" w:hAnsi="Arial" w:cs="Arial"/>
          <w:iCs/>
          <w:sz w:val="24"/>
          <w:szCs w:val="24"/>
        </w:rPr>
        <w:lastRenderedPageBreak/>
        <w:t>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7520BE" w:rsidRDefault="007520BE" w:rsidP="007520BE">
      <w:pPr>
        <w:spacing w:after="120"/>
        <w:ind w:lef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Nevrátí-li příjemce takovou část dotace v této lhůtě, dopustí se porušení rozpočtové kázně ve smyslu ust. § 22 zákona č. 250/2000 Sb., o rozpočtových pravidlech územních rozpočtů, ve znění pozdějších předpisů.</w:t>
      </w:r>
    </w:p>
    <w:p w:rsidR="007520BE" w:rsidRDefault="007520BE" w:rsidP="007520BE">
      <w:pPr>
        <w:spacing w:after="120"/>
        <w:ind w:left="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Dotaci nelze rovněž použít na úhradu ostatních daní.</w:t>
      </w:r>
    </w:p>
    <w:p w:rsidR="007520BE" w:rsidRDefault="007520BE" w:rsidP="007520BE">
      <w:pPr>
        <w:spacing w:after="12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7520BE" w:rsidRPr="00F6755C" w:rsidRDefault="007520BE" w:rsidP="007520BE">
      <w:pPr>
        <w:spacing w:after="12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je povinen vést dotaci ve svém účetnictví odděleně.</w:t>
      </w:r>
    </w:p>
    <w:p w:rsidR="007520BE" w:rsidRDefault="007520BE" w:rsidP="007520BE">
      <w:pPr>
        <w:numPr>
          <w:ilvl w:val="0"/>
          <w:numId w:val="31"/>
        </w:numPr>
        <w:spacing w:after="1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je povinen použít poskytnutou dotaci nejpozději do </w:t>
      </w:r>
      <w:r w:rsidR="00C8040A">
        <w:rPr>
          <w:rFonts w:ascii="Arial" w:hAnsi="Arial" w:cs="Arial"/>
          <w:sz w:val="24"/>
          <w:szCs w:val="24"/>
        </w:rPr>
        <w:t>31. 12. 2017</w:t>
      </w:r>
      <w:r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7520BE" w:rsidRPr="006B454A" w:rsidRDefault="007520BE" w:rsidP="005244E7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6B454A">
        <w:rPr>
          <w:rFonts w:ascii="Arial" w:hAnsi="Arial" w:cs="Arial"/>
          <w:iCs/>
          <w:sz w:val="24"/>
          <w:szCs w:val="24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C8040A">
        <w:rPr>
          <w:rFonts w:ascii="Arial" w:hAnsi="Arial" w:cs="Arial"/>
          <w:iCs/>
          <w:sz w:val="24"/>
          <w:szCs w:val="24"/>
        </w:rPr>
        <w:t>1. 1. 2017</w:t>
      </w:r>
      <w:r w:rsidRPr="006B454A">
        <w:rPr>
          <w:rFonts w:ascii="Arial" w:hAnsi="Arial" w:cs="Arial"/>
          <w:iCs/>
          <w:sz w:val="24"/>
          <w:szCs w:val="24"/>
        </w:rPr>
        <w:t xml:space="preserve"> do uzavření této smlouvy.</w:t>
      </w:r>
    </w:p>
    <w:p w:rsidR="007520BE" w:rsidRDefault="007520BE" w:rsidP="007520BE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7520BE" w:rsidRPr="00935CA8" w:rsidRDefault="007520BE" w:rsidP="007520BE">
      <w:pPr>
        <w:numPr>
          <w:ilvl w:val="0"/>
          <w:numId w:val="31"/>
        </w:numPr>
        <w:tabs>
          <w:tab w:val="left" w:pos="540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je povinen nejpozději do </w:t>
      </w:r>
      <w:r w:rsidR="00C8040A">
        <w:rPr>
          <w:rFonts w:ascii="Arial" w:hAnsi="Arial" w:cs="Arial"/>
          <w:sz w:val="24"/>
          <w:szCs w:val="24"/>
        </w:rPr>
        <w:t>30. 1. 2018</w:t>
      </w:r>
      <w:r>
        <w:rPr>
          <w:rFonts w:ascii="Arial" w:hAnsi="Arial" w:cs="Arial"/>
          <w:sz w:val="24"/>
          <w:szCs w:val="24"/>
        </w:rPr>
        <w:t xml:space="preserve"> předložit poskytovateli vyúčtování poskytnuté dotace (dále jen „vyúčtování“).</w:t>
      </w:r>
    </w:p>
    <w:p w:rsidR="007520BE" w:rsidRDefault="007520BE" w:rsidP="007520BE">
      <w:pPr>
        <w:tabs>
          <w:tab w:val="left" w:pos="540"/>
        </w:tabs>
        <w:spacing w:after="120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Vyúčtování musí obsahovat:</w:t>
      </w:r>
    </w:p>
    <w:p w:rsidR="007520BE" w:rsidRPr="00BC325E" w:rsidRDefault="007520BE" w:rsidP="00C8040A">
      <w:pPr>
        <w:spacing w:after="120"/>
        <w:ind w:left="1287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ab/>
        <w:t>soupis výdajů hrazených z poskytnuté dotace v rozsahu uvedeném v příloze č. 1 „</w:t>
      </w:r>
      <w:r w:rsidR="00C8040A" w:rsidRPr="00C8040A">
        <w:rPr>
          <w:rFonts w:ascii="Arial" w:hAnsi="Arial" w:cs="Arial"/>
          <w:sz w:val="24"/>
          <w:szCs w:val="24"/>
        </w:rPr>
        <w:t>finanční vyúčtování dotace - vzor na rok 2017</w:t>
      </w:r>
      <w:r w:rsidR="00857B18">
        <w:rPr>
          <w:rFonts w:ascii="Arial" w:hAnsi="Arial" w:cs="Arial"/>
          <w:sz w:val="24"/>
          <w:szCs w:val="24"/>
        </w:rPr>
        <w:t>“</w:t>
      </w:r>
      <w:r w:rsidRPr="00B428E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Příloha č. 1 je pro příjemce k dispozici v elektronické formě na webu poskytovatele</w:t>
      </w:r>
      <w:r w:rsidR="00857B18">
        <w:rPr>
          <w:rFonts w:ascii="Arial" w:hAnsi="Arial" w:cs="Arial"/>
          <w:b/>
          <w:sz w:val="24"/>
          <w:szCs w:val="24"/>
        </w:rPr>
        <w:t xml:space="preserve"> </w:t>
      </w:r>
      <w:hyperlink r:id="rId12" w:history="1">
        <w:r w:rsidR="00857B18" w:rsidRPr="00663ED6">
          <w:rPr>
            <w:rStyle w:val="Hypertextovodkaz"/>
            <w:rFonts w:ascii="Arial" w:hAnsi="Arial" w:cs="Arial"/>
            <w:b/>
            <w:sz w:val="24"/>
            <w:szCs w:val="24"/>
          </w:rPr>
          <w:t>https://www.kr-olomoucky.cz/vyuctovani-prispevku-dotace-cl-3802.html</w:t>
        </w:r>
      </w:hyperlink>
      <w:r w:rsidRPr="00BC325E">
        <w:rPr>
          <w:rFonts w:ascii="Arial" w:hAnsi="Arial" w:cs="Arial"/>
          <w:sz w:val="24"/>
          <w:szCs w:val="24"/>
        </w:rPr>
        <w:t>. Tento soupis výdajů bude doložen:</w:t>
      </w:r>
    </w:p>
    <w:p w:rsidR="007520BE" w:rsidRPr="00BC325E" w:rsidRDefault="007520BE" w:rsidP="007520BE">
      <w:pPr>
        <w:numPr>
          <w:ilvl w:val="0"/>
          <w:numId w:val="30"/>
        </w:numPr>
        <w:spacing w:after="60"/>
        <w:ind w:left="1644" w:hanging="357"/>
        <w:jc w:val="both"/>
        <w:rPr>
          <w:rFonts w:ascii="Arial" w:hAnsi="Arial" w:cs="Arial"/>
          <w:sz w:val="24"/>
          <w:szCs w:val="24"/>
        </w:rPr>
      </w:pPr>
      <w:r w:rsidRPr="00BC325E">
        <w:rPr>
          <w:rFonts w:ascii="Arial" w:hAnsi="Arial" w:cs="Arial"/>
          <w:sz w:val="24"/>
          <w:szCs w:val="24"/>
        </w:rPr>
        <w:t>fotokopiemi všech výpisů z bankovního účtu, které dokládají úhradu jednotlivých dokladů a faktur, s vyznačením dotčených plateb,</w:t>
      </w:r>
    </w:p>
    <w:p w:rsidR="007520BE" w:rsidRPr="00BC325E" w:rsidRDefault="007520BE" w:rsidP="007520BE">
      <w:pPr>
        <w:numPr>
          <w:ilvl w:val="0"/>
          <w:numId w:val="30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C325E">
        <w:rPr>
          <w:rFonts w:ascii="Arial" w:hAnsi="Arial" w:cs="Arial"/>
          <w:sz w:val="24"/>
          <w:szCs w:val="24"/>
        </w:rPr>
        <w:t xml:space="preserve">čestným prohlášením, že fotokopie předaných dokladů jsou shodné s originály a výdaje uvedené v soupisu jsou shodné se záznamy v účetnictví příjemce </w:t>
      </w:r>
      <w:r w:rsidRPr="00765F80">
        <w:rPr>
          <w:rFonts w:ascii="Arial" w:hAnsi="Arial" w:cs="Arial"/>
          <w:i/>
          <w:color w:val="0000FF"/>
          <w:sz w:val="24"/>
          <w:szCs w:val="24"/>
        </w:rPr>
        <w:t>(čestné prohlášení je zapracováno v textu přílohy č. 1)</w:t>
      </w:r>
      <w:r w:rsidRPr="00BC325E">
        <w:rPr>
          <w:rFonts w:ascii="Arial" w:hAnsi="Arial" w:cs="Arial"/>
          <w:sz w:val="24"/>
          <w:szCs w:val="24"/>
        </w:rPr>
        <w:t>.</w:t>
      </w:r>
    </w:p>
    <w:p w:rsidR="007520BE" w:rsidRDefault="007520BE" w:rsidP="007520BE">
      <w:pPr>
        <w:spacing w:after="120"/>
        <w:ind w:left="567"/>
        <w:rPr>
          <w:rFonts w:ascii="Arial" w:hAnsi="Arial" w:cs="Arial"/>
          <w:sz w:val="24"/>
          <w:szCs w:val="24"/>
        </w:rPr>
      </w:pPr>
      <w:r w:rsidRPr="00BC74DF">
        <w:rPr>
          <w:rFonts w:ascii="Arial" w:hAnsi="Arial" w:cs="Arial"/>
          <w:sz w:val="24"/>
          <w:szCs w:val="24"/>
        </w:rPr>
        <w:t>Společně s vyúčtováním příjemce předloží poskytovateli závěrečnou zprávu.</w:t>
      </w:r>
    </w:p>
    <w:p w:rsidR="007520BE" w:rsidRDefault="007520BE" w:rsidP="00857B18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C81BD7">
        <w:rPr>
          <w:rFonts w:ascii="Arial" w:hAnsi="Arial" w:cs="Arial"/>
          <w:sz w:val="24"/>
          <w:szCs w:val="24"/>
        </w:rPr>
        <w:t>Závěrečná zpráva musí obsahovat</w:t>
      </w:r>
      <w:r w:rsidR="00857B18">
        <w:rPr>
          <w:rFonts w:ascii="Arial" w:hAnsi="Arial" w:cs="Arial"/>
          <w:sz w:val="24"/>
          <w:szCs w:val="24"/>
        </w:rPr>
        <w:t xml:space="preserve"> </w:t>
      </w:r>
      <w:r w:rsidR="00857B18" w:rsidRPr="00857B18">
        <w:rPr>
          <w:rFonts w:ascii="Arial" w:hAnsi="Arial" w:cs="Arial"/>
          <w:sz w:val="24"/>
          <w:szCs w:val="24"/>
        </w:rPr>
        <w:t>popis</w:t>
      </w:r>
      <w:r w:rsidR="00A566EA">
        <w:rPr>
          <w:rFonts w:ascii="Arial" w:hAnsi="Arial" w:cs="Arial"/>
          <w:sz w:val="24"/>
          <w:szCs w:val="24"/>
        </w:rPr>
        <w:t xml:space="preserve"> a</w:t>
      </w:r>
      <w:r w:rsidR="00857B18" w:rsidRPr="00857B18">
        <w:rPr>
          <w:rFonts w:ascii="Arial" w:hAnsi="Arial" w:cs="Arial"/>
          <w:sz w:val="24"/>
          <w:szCs w:val="24"/>
        </w:rPr>
        <w:t xml:space="preserve"> zhodnocení akce, dále pak zdůvodnění oprávněnosti použití poskytnuté dotace v souladu s čl. I odst. 2 a 4 a čl. II. odst. 1 této smlouvy</w:t>
      </w:r>
      <w:r w:rsidRPr="00857B18">
        <w:rPr>
          <w:rFonts w:ascii="Arial" w:hAnsi="Arial" w:cs="Arial"/>
          <w:sz w:val="24"/>
          <w:szCs w:val="24"/>
        </w:rPr>
        <w:t>.</w:t>
      </w:r>
    </w:p>
    <w:p w:rsidR="007520BE" w:rsidRPr="0058756D" w:rsidRDefault="007520BE" w:rsidP="00AB1205">
      <w:pPr>
        <w:numPr>
          <w:ilvl w:val="0"/>
          <w:numId w:val="31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dotace nebyla použita v celé výši ve lhůtě uvedené v čl. II odst. 2 této smlouvy</w:t>
      </w:r>
      <w:r w:rsidR="005244E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je příjemce povinen vrátit </w:t>
      </w:r>
      <w:r w:rsidRPr="00F50DE0">
        <w:rPr>
          <w:rFonts w:ascii="Arial" w:hAnsi="Arial" w:cs="Arial"/>
          <w:sz w:val="24"/>
          <w:szCs w:val="24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hAnsi="Arial" w:cs="Arial"/>
          <w:sz w:val="24"/>
          <w:szCs w:val="24"/>
        </w:rPr>
        <w:t>Nevrátí-li příjemce nevyčerpanou část dotace v této lhůtě, dopustí se porušení rozpočtové kázně ve smyslu ust. §</w:t>
      </w:r>
      <w:r>
        <w:rPr>
          <w:rFonts w:ascii="Arial" w:hAnsi="Arial" w:cs="Arial"/>
          <w:sz w:val="24"/>
          <w:szCs w:val="24"/>
        </w:rPr>
        <w:t> </w:t>
      </w:r>
      <w:r w:rsidRPr="0058756D">
        <w:rPr>
          <w:rFonts w:ascii="Arial" w:hAnsi="Arial" w:cs="Arial"/>
          <w:sz w:val="24"/>
          <w:szCs w:val="24"/>
        </w:rPr>
        <w:t>22 zákona č. 250/2000 Sb., o rozpočtových pravidlech územních rozpočtů</w:t>
      </w:r>
      <w:r>
        <w:rPr>
          <w:rFonts w:ascii="Arial" w:hAnsi="Arial" w:cs="Arial"/>
          <w:sz w:val="24"/>
          <w:szCs w:val="24"/>
        </w:rPr>
        <w:t>, ve znění pozdějších předpisů.</w:t>
      </w:r>
    </w:p>
    <w:p w:rsidR="007520BE" w:rsidRDefault="007520BE" w:rsidP="007520BE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7520BE" w:rsidRDefault="007520BE" w:rsidP="007520BE">
      <w:pPr>
        <w:numPr>
          <w:ilvl w:val="0"/>
          <w:numId w:val="31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7520BE" w:rsidTr="00AC2970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0BE" w:rsidRDefault="007520BE" w:rsidP="00AC297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0BE" w:rsidRDefault="007520BE" w:rsidP="00AC297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Výše odvodu v % z celkově poskytnuté dotace</w:t>
            </w:r>
          </w:p>
        </w:tc>
      </w:tr>
      <w:tr w:rsidR="007520BE" w:rsidTr="00AC297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0BE" w:rsidRDefault="007520BE" w:rsidP="00AC297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0BE" w:rsidRDefault="007520BE" w:rsidP="00AC29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7520BE" w:rsidTr="00AC297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0BE" w:rsidRDefault="007520BE" w:rsidP="00AC297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0BE" w:rsidRDefault="007520BE" w:rsidP="00AC29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2%</w:t>
            </w:r>
          </w:p>
        </w:tc>
      </w:tr>
      <w:tr w:rsidR="007520BE" w:rsidTr="00AC297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0BE" w:rsidRDefault="007520BE" w:rsidP="00AC297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0BE" w:rsidRDefault="007520BE" w:rsidP="00AC29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7520BE" w:rsidTr="00AC297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0BE" w:rsidRDefault="007520BE" w:rsidP="00AC297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0BE" w:rsidRDefault="007520BE" w:rsidP="00AC29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7520BE" w:rsidTr="00AC297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0BE" w:rsidRDefault="007520BE" w:rsidP="00AC297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0BE" w:rsidRDefault="007520BE" w:rsidP="00AC29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7520BE" w:rsidTr="00AC297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0BE" w:rsidRDefault="007520BE" w:rsidP="00AC297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0BE" w:rsidRDefault="007520BE" w:rsidP="00AC29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</w:tbl>
    <w:p w:rsidR="007520BE" w:rsidRDefault="007520BE" w:rsidP="007520BE">
      <w:pPr>
        <w:spacing w:after="120"/>
        <w:ind w:left="567"/>
        <w:rPr>
          <w:rFonts w:ascii="Arial" w:hAnsi="Arial" w:cs="Arial"/>
          <w:iCs/>
          <w:sz w:val="24"/>
          <w:szCs w:val="24"/>
        </w:rPr>
      </w:pPr>
    </w:p>
    <w:p w:rsidR="007520BE" w:rsidRPr="008B0B51" w:rsidRDefault="007520BE" w:rsidP="004E134D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je příjemce dle této smlouvy povinen vrátit dotaci nebo její část</w:t>
      </w:r>
      <w:r w:rsidR="004E134D" w:rsidRPr="004E134D">
        <w:rPr>
          <w:rFonts w:ascii="Arial" w:hAnsi="Arial" w:cs="Arial"/>
          <w:sz w:val="24"/>
          <w:szCs w:val="24"/>
        </w:rPr>
        <w:t xml:space="preserve"> </w:t>
      </w:r>
      <w:r w:rsidR="004E134D">
        <w:rPr>
          <w:rFonts w:ascii="Arial" w:hAnsi="Arial" w:cs="Arial"/>
          <w:sz w:val="24"/>
          <w:szCs w:val="24"/>
        </w:rPr>
        <w:t>v roce 2017</w:t>
      </w:r>
      <w:r>
        <w:rPr>
          <w:rFonts w:ascii="Arial" w:hAnsi="Arial" w:cs="Arial"/>
          <w:sz w:val="24"/>
          <w:szCs w:val="24"/>
        </w:rPr>
        <w:t>, vrátí příjemce dotaci nebo jej</w:t>
      </w:r>
      <w:r w:rsidR="004E134D">
        <w:rPr>
          <w:rFonts w:ascii="Arial" w:hAnsi="Arial" w:cs="Arial"/>
          <w:sz w:val="24"/>
          <w:szCs w:val="24"/>
        </w:rPr>
        <w:t>í část na účet poskytovatele č. </w:t>
      </w:r>
      <w:r w:rsidR="004E134D" w:rsidRPr="004E134D">
        <w:rPr>
          <w:rFonts w:ascii="Arial" w:hAnsi="Arial" w:cs="Arial"/>
          <w:sz w:val="24"/>
          <w:szCs w:val="24"/>
        </w:rPr>
        <w:t>27</w:t>
      </w:r>
      <w:r w:rsidR="004E134D">
        <w:rPr>
          <w:rFonts w:ascii="Arial" w:hAnsi="Arial" w:cs="Arial"/>
          <w:sz w:val="24"/>
          <w:szCs w:val="24"/>
        </w:rPr>
        <w:noBreakHyphen/>
      </w:r>
      <w:r w:rsidR="004E134D" w:rsidRPr="004E134D">
        <w:rPr>
          <w:rFonts w:ascii="Arial" w:hAnsi="Arial" w:cs="Arial"/>
          <w:sz w:val="24"/>
          <w:szCs w:val="24"/>
        </w:rPr>
        <w:t>4228330207/0100</w:t>
      </w:r>
      <w:r w:rsidR="004E134D">
        <w:rPr>
          <w:rFonts w:ascii="Arial" w:hAnsi="Arial" w:cs="Arial"/>
          <w:sz w:val="24"/>
          <w:szCs w:val="24"/>
        </w:rPr>
        <w:t>. V případě, že je příjemce dle této smlouvy povinen vrátit dotaci nebo její část v roce 2018, vrátí příjemce dotaci nebo její část</w:t>
      </w:r>
      <w:r w:rsidRPr="00D40813">
        <w:rPr>
          <w:rFonts w:ascii="Arial" w:hAnsi="Arial" w:cs="Arial"/>
          <w:sz w:val="24"/>
          <w:szCs w:val="24"/>
        </w:rPr>
        <w:t xml:space="preserve"> na účet poskytovatele č. </w:t>
      </w:r>
      <w:r w:rsidR="004E134D" w:rsidRPr="004E134D">
        <w:rPr>
          <w:rFonts w:ascii="Arial" w:hAnsi="Arial" w:cs="Arial"/>
          <w:sz w:val="24"/>
          <w:szCs w:val="24"/>
        </w:rPr>
        <w:t>27-4228320287/0100</w:t>
      </w:r>
      <w:r w:rsidR="004E134D">
        <w:rPr>
          <w:rFonts w:ascii="Arial" w:hAnsi="Arial" w:cs="Arial"/>
          <w:sz w:val="24"/>
          <w:szCs w:val="24"/>
        </w:rPr>
        <w:t xml:space="preserve">. </w:t>
      </w:r>
      <w:r w:rsidR="004E134D" w:rsidRPr="00D40813">
        <w:rPr>
          <w:rFonts w:ascii="Arial" w:hAnsi="Arial" w:cs="Arial"/>
          <w:sz w:val="24"/>
          <w:szCs w:val="24"/>
        </w:rPr>
        <w:t xml:space="preserve">Případný odvod či penále se hradí </w:t>
      </w:r>
      <w:r w:rsidR="004E134D">
        <w:rPr>
          <w:rFonts w:ascii="Arial" w:hAnsi="Arial" w:cs="Arial"/>
          <w:sz w:val="24"/>
          <w:szCs w:val="24"/>
        </w:rPr>
        <w:t xml:space="preserve">na </w:t>
      </w:r>
      <w:r w:rsidR="004E134D" w:rsidRPr="008B0B51">
        <w:rPr>
          <w:rFonts w:ascii="Arial" w:hAnsi="Arial" w:cs="Arial"/>
          <w:sz w:val="24"/>
          <w:szCs w:val="24"/>
        </w:rPr>
        <w:t>základě</w:t>
      </w:r>
      <w:r w:rsidR="004E134D">
        <w:rPr>
          <w:rFonts w:ascii="Arial" w:hAnsi="Arial" w:cs="Arial"/>
          <w:sz w:val="24"/>
          <w:szCs w:val="24"/>
        </w:rPr>
        <w:t xml:space="preserve"> poskytovatelem </w:t>
      </w:r>
      <w:r w:rsidR="004E134D" w:rsidRPr="008B0B51">
        <w:rPr>
          <w:rFonts w:ascii="Arial" w:hAnsi="Arial" w:cs="Arial"/>
          <w:sz w:val="24"/>
          <w:szCs w:val="24"/>
        </w:rPr>
        <w:t>vystavené faktury</w:t>
      </w:r>
      <w:r w:rsidR="004E134D">
        <w:rPr>
          <w:rFonts w:ascii="Arial" w:hAnsi="Arial" w:cs="Arial"/>
          <w:sz w:val="24"/>
          <w:szCs w:val="24"/>
        </w:rPr>
        <w:t>.</w:t>
      </w:r>
    </w:p>
    <w:p w:rsidR="007520BE" w:rsidRDefault="007520BE" w:rsidP="007520BE">
      <w:pPr>
        <w:numPr>
          <w:ilvl w:val="0"/>
          <w:numId w:val="31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</w:t>
      </w:r>
      <w:r>
        <w:rPr>
          <w:rFonts w:ascii="Arial" w:hAnsi="Arial" w:cs="Arial"/>
          <w:sz w:val="24"/>
          <w:szCs w:val="24"/>
        </w:rPr>
        <w:lastRenderedPageBreak/>
        <w:t>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7520BE" w:rsidRPr="00E614BE" w:rsidRDefault="007520BE" w:rsidP="007520BE">
      <w:pPr>
        <w:numPr>
          <w:ilvl w:val="0"/>
          <w:numId w:val="31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:rsidR="007520BE" w:rsidRPr="005E267D" w:rsidRDefault="007520BE" w:rsidP="007520BE">
      <w:pPr>
        <w:numPr>
          <w:ilvl w:val="0"/>
          <w:numId w:val="31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07343C">
        <w:rPr>
          <w:rFonts w:ascii="Arial" w:hAnsi="Arial" w:cs="Arial"/>
          <w:bCs/>
          <w:iCs/>
          <w:sz w:val="24"/>
          <w:szCs w:val="24"/>
        </w:rPr>
        <w:t xml:space="preserve">Příjemce prohlašuje, že ke dni podpisu </w:t>
      </w:r>
      <w:r w:rsidRPr="005E267D">
        <w:rPr>
          <w:rFonts w:ascii="Arial" w:hAnsi="Arial" w:cs="Arial"/>
          <w:bCs/>
          <w:iCs/>
          <w:sz w:val="24"/>
          <w:szCs w:val="24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hAnsi="Arial" w:cs="Arial"/>
          <w:bCs/>
          <w:iCs/>
          <w:sz w:val="24"/>
          <w:szCs w:val="24"/>
        </w:rPr>
        <w:t>Evropskou unií. Příjemce současně prohlašuje, že ke dni podpisu této smlouvy nemá neuhrazené závazky po lhůtě splatnosti ani vůči poskytovateli, jím zřízeným organizacím a jiným územním samosprávným celkům. Za neuhrazený závazek po lhůtě splatnosti vůči výše uvedeným subjektům  je považován</w:t>
      </w:r>
      <w:r w:rsidRPr="005E267D">
        <w:rPr>
          <w:rFonts w:ascii="Arial" w:hAnsi="Arial" w:cs="Arial"/>
          <w:bCs/>
          <w:iCs/>
          <w:sz w:val="24"/>
          <w:szCs w:val="24"/>
        </w:rPr>
        <w:t xml:space="preserve">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:rsidR="007520BE" w:rsidRPr="005E267D" w:rsidRDefault="007520BE" w:rsidP="007520BE">
      <w:pPr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5E267D">
        <w:rPr>
          <w:rFonts w:ascii="Arial" w:hAnsi="Arial" w:cs="Arial"/>
          <w:b/>
          <w:bCs/>
          <w:sz w:val="24"/>
          <w:szCs w:val="24"/>
        </w:rPr>
        <w:t>III.</w:t>
      </w:r>
    </w:p>
    <w:p w:rsidR="007520BE" w:rsidRPr="005E267D" w:rsidRDefault="007520BE" w:rsidP="007520BE">
      <w:pPr>
        <w:numPr>
          <w:ilvl w:val="0"/>
          <w:numId w:val="3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E267D">
        <w:rPr>
          <w:rFonts w:ascii="Arial" w:hAnsi="Arial" w:cs="Arial"/>
          <w:sz w:val="24"/>
          <w:szCs w:val="24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:rsidR="007520BE" w:rsidRDefault="007520BE" w:rsidP="007520BE">
      <w:pPr>
        <w:numPr>
          <w:ilvl w:val="0"/>
          <w:numId w:val="4"/>
        </w:num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:rsidR="007520BE" w:rsidRDefault="007520BE" w:rsidP="007520BE">
      <w:pPr>
        <w:numPr>
          <w:ilvl w:val="0"/>
          <w:numId w:val="4"/>
        </w:num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Tato smlouva nabývá platnosti a účinnosti dnem jejího uzavření.</w:t>
      </w:r>
    </w:p>
    <w:p w:rsidR="007520BE" w:rsidRPr="003D1870" w:rsidRDefault="007520BE" w:rsidP="007520BE">
      <w:pPr>
        <w:numPr>
          <w:ilvl w:val="0"/>
          <w:numId w:val="3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3D1870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7520BE" w:rsidRDefault="007520BE" w:rsidP="007520BE">
      <w:pPr>
        <w:numPr>
          <w:ilvl w:val="0"/>
          <w:numId w:val="32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3D1870">
        <w:rPr>
          <w:rFonts w:ascii="Arial" w:hAnsi="Arial" w:cs="Arial"/>
          <w:sz w:val="24"/>
          <w:szCs w:val="24"/>
        </w:rPr>
        <w:t>Smluvní strany prohlašují, že souhlasí</w:t>
      </w:r>
      <w:r>
        <w:rPr>
          <w:rFonts w:ascii="Arial" w:hAnsi="Arial" w:cs="Arial"/>
          <w:sz w:val="24"/>
          <w:szCs w:val="24"/>
        </w:rPr>
        <w:t xml:space="preserve"> s případným zveřejněním textu této smlouvy v souladu se zákonem č. 106/1999 Sb., o svobodném přístupu k informacím, ve znění pozdějších předpisů.</w:t>
      </w:r>
    </w:p>
    <w:p w:rsidR="007520BE" w:rsidRDefault="007520BE" w:rsidP="007520BE">
      <w:pPr>
        <w:numPr>
          <w:ilvl w:val="0"/>
          <w:numId w:val="3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Poskytnutí dotace a uzavření této smlouvy bylo schváleno usnesením Zast</w:t>
      </w:r>
      <w:r w:rsidR="008E7DBC">
        <w:rPr>
          <w:rFonts w:ascii="Arial" w:hAnsi="Arial" w:cs="Arial"/>
          <w:sz w:val="24"/>
          <w:szCs w:val="24"/>
        </w:rPr>
        <w:t>upitelstva Olomouckého kraje č. UZ/3/ … /2017 ze dne 27. </w:t>
      </w:r>
      <w:r w:rsidR="00A566EA">
        <w:rPr>
          <w:rFonts w:ascii="Arial" w:hAnsi="Arial" w:cs="Arial"/>
          <w:sz w:val="24"/>
          <w:szCs w:val="24"/>
        </w:rPr>
        <w:t>2</w:t>
      </w:r>
      <w:r w:rsidR="008E7DBC">
        <w:rPr>
          <w:rFonts w:ascii="Arial" w:hAnsi="Arial" w:cs="Arial"/>
          <w:sz w:val="24"/>
          <w:szCs w:val="24"/>
        </w:rPr>
        <w:t>. 2017.</w:t>
      </w:r>
    </w:p>
    <w:p w:rsidR="007520BE" w:rsidRDefault="008270C5" w:rsidP="007520BE">
      <w:pPr>
        <w:numPr>
          <w:ilvl w:val="0"/>
          <w:numId w:val="32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je sepsána ve 4</w:t>
      </w:r>
      <w:r w:rsidR="007520BE">
        <w:rPr>
          <w:rFonts w:ascii="Arial" w:hAnsi="Arial" w:cs="Arial"/>
          <w:sz w:val="24"/>
          <w:szCs w:val="24"/>
        </w:rPr>
        <w:t xml:space="preserve"> vyhotoveních, z nichž každá smluvní strana obdrží </w:t>
      </w:r>
      <w:r>
        <w:rPr>
          <w:rFonts w:ascii="Arial" w:hAnsi="Arial" w:cs="Arial"/>
          <w:sz w:val="24"/>
          <w:szCs w:val="24"/>
        </w:rPr>
        <w:t xml:space="preserve">2 </w:t>
      </w:r>
      <w:r w:rsidR="007520BE">
        <w:rPr>
          <w:rFonts w:ascii="Arial" w:hAnsi="Arial" w:cs="Arial"/>
          <w:sz w:val="24"/>
          <w:szCs w:val="24"/>
        </w:rPr>
        <w:t>vyhotovení.</w:t>
      </w:r>
    </w:p>
    <w:p w:rsidR="007520BE" w:rsidRDefault="007520BE" w:rsidP="007520BE">
      <w:pPr>
        <w:spacing w:before="600" w:after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Olomouci dne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7520BE" w:rsidTr="00AC297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20BE" w:rsidRDefault="007520BE" w:rsidP="00AC297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poskytovatele:</w:t>
            </w:r>
          </w:p>
          <w:p w:rsidR="007520BE" w:rsidRDefault="007520BE" w:rsidP="00AC297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  <w:p w:rsidR="007520BE" w:rsidRDefault="007520BE" w:rsidP="00AC297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  <w:p w:rsidR="007520BE" w:rsidRDefault="007520BE" w:rsidP="00AC297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20BE" w:rsidRDefault="007520BE" w:rsidP="00AC297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Za příjemce:</w:t>
            </w:r>
          </w:p>
        </w:tc>
      </w:tr>
      <w:tr w:rsidR="007520BE" w:rsidTr="00AC297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AA9" w:rsidRDefault="00975AA9" w:rsidP="00975A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Bc. Pavel Šoltys, DiS</w:t>
            </w:r>
          </w:p>
          <w:p w:rsidR="007520BE" w:rsidRDefault="00975AA9" w:rsidP="00975AA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náměstek hejtmana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20BE" w:rsidRDefault="00975AA9" w:rsidP="00AC29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Michal Symerský</w:t>
            </w:r>
          </w:p>
          <w:p w:rsidR="00975AA9" w:rsidRDefault="00975AA9" w:rsidP="00975A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předseda Regionální rady regionu soudržnosti Střední Morava</w:t>
            </w:r>
          </w:p>
        </w:tc>
      </w:tr>
    </w:tbl>
    <w:p w:rsidR="007520BE" w:rsidRDefault="007520BE" w:rsidP="007520BE">
      <w:pPr>
        <w:rPr>
          <w:rFonts w:ascii="Arial" w:hAnsi="Arial" w:cs="Arial"/>
          <w:bCs/>
        </w:rPr>
      </w:pPr>
    </w:p>
    <w:p w:rsidR="007520BE" w:rsidRDefault="007520BE" w:rsidP="007520BE">
      <w:pPr>
        <w:rPr>
          <w:rFonts w:ascii="Arial" w:hAnsi="Arial" w:cs="Arial"/>
          <w:bCs/>
        </w:rPr>
      </w:pPr>
    </w:p>
    <w:p w:rsidR="0080261E" w:rsidRDefault="0080261E" w:rsidP="00AC6AF2">
      <w:pPr>
        <w:pStyle w:val="Zkladntextodsazen"/>
        <w:spacing w:after="120"/>
        <w:ind w:left="0"/>
        <w:jc w:val="both"/>
        <w:rPr>
          <w:rFonts w:ascii="Arial" w:hAnsi="Arial" w:cs="Arial"/>
        </w:rPr>
        <w:sectPr w:rsidR="0080261E" w:rsidSect="00EC01BB">
          <w:headerReference w:type="default" r:id="rId13"/>
          <w:footerReference w:type="default" r:id="rId14"/>
          <w:pgSz w:w="11907" w:h="16840" w:code="9"/>
          <w:pgMar w:top="1134" w:right="1134" w:bottom="1134" w:left="1134" w:header="709" w:footer="377" w:gutter="0"/>
          <w:cols w:space="708"/>
          <w:docGrid w:linePitch="272"/>
        </w:sectPr>
      </w:pPr>
    </w:p>
    <w:p w:rsidR="00005E65" w:rsidRDefault="00005E65" w:rsidP="00005E65">
      <w:pPr>
        <w:spacing w:after="6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Smlouva o poskytnutí dotace</w:t>
      </w:r>
    </w:p>
    <w:p w:rsidR="00005E65" w:rsidRDefault="00005E65" w:rsidP="00005E65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hAnsi="Arial" w:cs="Arial"/>
          <w:i/>
        </w:rPr>
        <w:t xml:space="preserve"> </w:t>
      </w:r>
    </w:p>
    <w:p w:rsidR="00005E65" w:rsidRPr="001266E2" w:rsidRDefault="00005E65" w:rsidP="00005E65">
      <w:pPr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:rsidR="00005E65" w:rsidRPr="001266E2" w:rsidRDefault="00005E65" w:rsidP="00005E65">
      <w:pPr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:rsidR="00005E65" w:rsidRDefault="00005E65" w:rsidP="00005E65">
      <w:pPr>
        <w:spacing w:after="120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Olomoucký kraj</w:t>
      </w:r>
    </w:p>
    <w:p w:rsidR="00005E65" w:rsidRDefault="00005E65" w:rsidP="00005E65">
      <w:pPr>
        <w:spacing w:after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Jeremenkova 40a, 779 11 Olomouc</w:t>
      </w:r>
    </w:p>
    <w:p w:rsidR="00005E65" w:rsidRDefault="00005E65" w:rsidP="00005E6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IČ: 60609460</w:t>
      </w:r>
    </w:p>
    <w:p w:rsidR="00005E65" w:rsidRDefault="00005E65" w:rsidP="00005E6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DIČ: CZ60609460</w:t>
      </w:r>
    </w:p>
    <w:p w:rsidR="00005E65" w:rsidRDefault="00005E65" w:rsidP="00005E6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Zastoupený:  Bc. Pavlem Šoltysem, DiS, na základě usnesení Zastupitelstva Olomouckého kraje č. UZ/3/ … /2017 ze dne 27. 2. 2017</w:t>
      </w:r>
    </w:p>
    <w:p w:rsidR="00005E65" w:rsidRDefault="00005E65" w:rsidP="00005E6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  <w:r w:rsidR="004E134D">
        <w:rPr>
          <w:rFonts w:ascii="Arial" w:hAnsi="Arial" w:cs="Arial"/>
          <w:sz w:val="24"/>
          <w:szCs w:val="24"/>
        </w:rPr>
        <w:t xml:space="preserve">Komerční banka, a. s., č. ú. </w:t>
      </w:r>
      <w:r w:rsidR="004E134D" w:rsidRPr="004E134D">
        <w:rPr>
          <w:rFonts w:ascii="Arial" w:hAnsi="Arial" w:cs="Arial"/>
          <w:sz w:val="24"/>
          <w:szCs w:val="24"/>
        </w:rPr>
        <w:t>27-4228330207/0100</w:t>
      </w:r>
    </w:p>
    <w:p w:rsidR="00005E65" w:rsidRDefault="00005E65" w:rsidP="00005E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</w:t>
      </w:r>
      <w:r>
        <w:rPr>
          <w:rFonts w:ascii="Arial" w:hAnsi="Arial" w:cs="Arial"/>
          <w:b/>
          <w:bCs/>
          <w:sz w:val="24"/>
          <w:szCs w:val="24"/>
        </w:rPr>
        <w:t>poskytovatel</w:t>
      </w:r>
      <w:r>
        <w:rPr>
          <w:rFonts w:ascii="Arial" w:hAnsi="Arial" w:cs="Arial"/>
          <w:bCs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)</w:t>
      </w:r>
    </w:p>
    <w:p w:rsidR="00005E65" w:rsidRDefault="00005E65" w:rsidP="00005E65">
      <w:pPr>
        <w:spacing w:after="120"/>
        <w:rPr>
          <w:rFonts w:ascii="Arial" w:hAnsi="Arial" w:cs="Arial"/>
          <w:sz w:val="24"/>
          <w:szCs w:val="24"/>
        </w:rPr>
      </w:pPr>
    </w:p>
    <w:p w:rsidR="00005E65" w:rsidRDefault="00005E65" w:rsidP="00005E65">
      <w:pPr>
        <w:spacing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</w:p>
    <w:p w:rsidR="00005E65" w:rsidRDefault="00005E65" w:rsidP="00005E65">
      <w:pPr>
        <w:spacing w:after="120"/>
        <w:rPr>
          <w:rFonts w:ascii="Arial" w:hAnsi="Arial" w:cs="Arial"/>
          <w:sz w:val="24"/>
          <w:szCs w:val="24"/>
        </w:rPr>
      </w:pPr>
    </w:p>
    <w:p w:rsidR="00005E65" w:rsidRDefault="00AC2970" w:rsidP="00005E65">
      <w:pPr>
        <w:spacing w:after="120"/>
        <w:outlineLvl w:val="0"/>
        <w:rPr>
          <w:rFonts w:ascii="Arial" w:hAnsi="Arial" w:cs="Arial"/>
          <w:bCs/>
          <w:sz w:val="24"/>
          <w:szCs w:val="24"/>
        </w:rPr>
      </w:pPr>
      <w:r w:rsidRPr="00AC2970">
        <w:rPr>
          <w:rFonts w:ascii="Arial" w:hAnsi="Arial" w:cs="Arial"/>
          <w:b/>
          <w:bCs/>
          <w:sz w:val="24"/>
          <w:szCs w:val="24"/>
        </w:rPr>
        <w:t>Regionální agentura pro rozvoj střední Moravy, z.s.p.o.</w:t>
      </w:r>
    </w:p>
    <w:p w:rsidR="00005E65" w:rsidRDefault="00AC2970" w:rsidP="00005E65">
      <w:pPr>
        <w:spacing w:after="120"/>
        <w:rPr>
          <w:rFonts w:ascii="Arial" w:hAnsi="Arial" w:cs="Arial"/>
          <w:sz w:val="24"/>
          <w:szCs w:val="24"/>
        </w:rPr>
      </w:pPr>
      <w:r w:rsidRPr="00AC2970">
        <w:rPr>
          <w:rFonts w:ascii="Arial" w:hAnsi="Arial" w:cs="Arial"/>
          <w:sz w:val="24"/>
          <w:szCs w:val="24"/>
        </w:rPr>
        <w:t xml:space="preserve">Horní náměstí </w:t>
      </w:r>
      <w:r w:rsidR="007F2271">
        <w:rPr>
          <w:rFonts w:ascii="Arial" w:hAnsi="Arial" w:cs="Arial"/>
          <w:sz w:val="24"/>
          <w:szCs w:val="24"/>
        </w:rPr>
        <w:t>367/</w:t>
      </w:r>
      <w:r w:rsidRPr="00AC2970">
        <w:rPr>
          <w:rFonts w:ascii="Arial" w:hAnsi="Arial" w:cs="Arial"/>
          <w:sz w:val="24"/>
          <w:szCs w:val="24"/>
        </w:rPr>
        <w:t>5</w:t>
      </w:r>
      <w:r w:rsidR="00005E65">
        <w:rPr>
          <w:rFonts w:ascii="Arial" w:hAnsi="Arial" w:cs="Arial"/>
          <w:sz w:val="24"/>
          <w:szCs w:val="24"/>
        </w:rPr>
        <w:t>,</w:t>
      </w:r>
      <w:r w:rsidR="00005E65" w:rsidRPr="007520BE">
        <w:rPr>
          <w:rFonts w:ascii="Arial" w:hAnsi="Arial" w:cs="Arial"/>
          <w:sz w:val="24"/>
          <w:szCs w:val="24"/>
        </w:rPr>
        <w:t xml:space="preserve"> </w:t>
      </w:r>
      <w:r w:rsidR="00005E65">
        <w:rPr>
          <w:rFonts w:ascii="Arial" w:hAnsi="Arial" w:cs="Arial"/>
          <w:sz w:val="24"/>
          <w:szCs w:val="24"/>
        </w:rPr>
        <w:t>77</w:t>
      </w:r>
      <w:r>
        <w:rPr>
          <w:rFonts w:ascii="Arial" w:hAnsi="Arial" w:cs="Arial"/>
          <w:sz w:val="24"/>
          <w:szCs w:val="24"/>
        </w:rPr>
        <w:t>2 00 Olomouc</w:t>
      </w:r>
    </w:p>
    <w:p w:rsidR="00005E65" w:rsidRDefault="00005E65" w:rsidP="00005E6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IČ: </w:t>
      </w:r>
      <w:r w:rsidR="00AC2970" w:rsidRPr="00AC2970">
        <w:rPr>
          <w:rFonts w:ascii="Arial" w:hAnsi="Arial" w:cs="Arial"/>
          <w:sz w:val="24"/>
          <w:szCs w:val="24"/>
        </w:rPr>
        <w:t>64631109</w:t>
      </w:r>
    </w:p>
    <w:p w:rsidR="00005E65" w:rsidRDefault="00005E65" w:rsidP="00005E65">
      <w:pPr>
        <w:spacing w:after="120"/>
        <w:rPr>
          <w:rFonts w:ascii="Arial" w:hAnsi="Arial" w:cs="Arial"/>
          <w:sz w:val="24"/>
          <w:szCs w:val="24"/>
        </w:rPr>
      </w:pPr>
      <w:r w:rsidRPr="00AC2970">
        <w:rPr>
          <w:rFonts w:ascii="Arial" w:hAnsi="Arial" w:cs="Arial"/>
          <w:sz w:val="24"/>
          <w:szCs w:val="24"/>
        </w:rPr>
        <w:t>DIČ</w:t>
      </w:r>
      <w:r w:rsidRPr="00AC2970">
        <w:rPr>
          <w:rFonts w:ascii="Arial" w:hAnsi="Arial" w:cs="Arial"/>
          <w:bCs/>
          <w:sz w:val="24"/>
          <w:szCs w:val="24"/>
        </w:rPr>
        <w:t>:</w:t>
      </w:r>
      <w:r w:rsidRPr="00AC2970">
        <w:rPr>
          <w:rFonts w:ascii="Arial" w:hAnsi="Arial" w:cs="Arial"/>
          <w:sz w:val="24"/>
          <w:szCs w:val="24"/>
        </w:rPr>
        <w:t xml:space="preserve"> </w:t>
      </w:r>
      <w:r w:rsidR="00AC2970" w:rsidRPr="00AC2970">
        <w:rPr>
          <w:rFonts w:ascii="Arial" w:hAnsi="Arial" w:cs="Arial"/>
          <w:sz w:val="24"/>
          <w:szCs w:val="24"/>
        </w:rPr>
        <w:t xml:space="preserve">CZ64631109 </w:t>
      </w:r>
    </w:p>
    <w:p w:rsidR="00005E65" w:rsidRDefault="00005E65" w:rsidP="00005E6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Zastoupený:  Ing. Ma</w:t>
      </w:r>
      <w:r w:rsidR="000E5E58">
        <w:rPr>
          <w:rFonts w:ascii="Arial" w:hAnsi="Arial" w:cs="Arial"/>
          <w:sz w:val="24"/>
          <w:szCs w:val="24"/>
        </w:rPr>
        <w:t>rtinem Kučerou</w:t>
      </w:r>
      <w:r>
        <w:rPr>
          <w:rFonts w:ascii="Arial" w:hAnsi="Arial" w:cs="Arial"/>
          <w:sz w:val="24"/>
          <w:szCs w:val="24"/>
        </w:rPr>
        <w:t xml:space="preserve">, </w:t>
      </w:r>
      <w:r w:rsidR="007F2271">
        <w:rPr>
          <w:rFonts w:ascii="Arial" w:hAnsi="Arial" w:cs="Arial"/>
          <w:sz w:val="24"/>
          <w:szCs w:val="24"/>
        </w:rPr>
        <w:t xml:space="preserve">MBA, MPA, </w:t>
      </w:r>
      <w:r>
        <w:rPr>
          <w:rFonts w:ascii="Arial" w:hAnsi="Arial" w:cs="Arial"/>
          <w:sz w:val="24"/>
          <w:szCs w:val="24"/>
        </w:rPr>
        <w:t>ředitelem</w:t>
      </w:r>
      <w:r w:rsidR="000E5E5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 základě </w:t>
      </w:r>
      <w:r w:rsidR="000E5E58">
        <w:rPr>
          <w:rFonts w:ascii="Arial" w:hAnsi="Arial" w:cs="Arial"/>
          <w:sz w:val="24"/>
          <w:szCs w:val="24"/>
        </w:rPr>
        <w:t>jmenování ze dne 1. 1. 2007</w:t>
      </w:r>
    </w:p>
    <w:p w:rsidR="00005E65" w:rsidRDefault="00005E65" w:rsidP="00005E6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Zapsan</w:t>
      </w:r>
      <w:r w:rsidR="000E5E58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 xml:space="preserve"> </w:t>
      </w:r>
      <w:r w:rsidR="000E5E58">
        <w:rPr>
          <w:rFonts w:ascii="Arial" w:hAnsi="Arial" w:cs="Arial"/>
          <w:sz w:val="24"/>
          <w:szCs w:val="24"/>
        </w:rPr>
        <w:t xml:space="preserve">ve spolkovém rejstříku, vedeném </w:t>
      </w:r>
      <w:r w:rsidR="000E5E58" w:rsidRPr="0014791A">
        <w:rPr>
          <w:rFonts w:ascii="Arial" w:hAnsi="Arial" w:cs="Arial"/>
          <w:sz w:val="24"/>
          <w:szCs w:val="24"/>
        </w:rPr>
        <w:t>Krajský</w:t>
      </w:r>
      <w:r w:rsidR="000E5E58">
        <w:rPr>
          <w:rFonts w:ascii="Arial" w:hAnsi="Arial" w:cs="Arial"/>
          <w:sz w:val="24"/>
          <w:szCs w:val="24"/>
        </w:rPr>
        <w:t>m</w:t>
      </w:r>
      <w:r w:rsidR="000E5E58" w:rsidRPr="0014791A">
        <w:rPr>
          <w:rFonts w:ascii="Arial" w:hAnsi="Arial" w:cs="Arial"/>
          <w:sz w:val="24"/>
          <w:szCs w:val="24"/>
        </w:rPr>
        <w:t xml:space="preserve"> soud</w:t>
      </w:r>
      <w:r w:rsidR="000E5E58">
        <w:rPr>
          <w:rFonts w:ascii="Arial" w:hAnsi="Arial" w:cs="Arial"/>
          <w:sz w:val="24"/>
          <w:szCs w:val="24"/>
        </w:rPr>
        <w:t>em v </w:t>
      </w:r>
      <w:r w:rsidR="000E5E58" w:rsidRPr="0014791A">
        <w:rPr>
          <w:rFonts w:ascii="Arial" w:hAnsi="Arial" w:cs="Arial"/>
          <w:sz w:val="24"/>
          <w:szCs w:val="24"/>
        </w:rPr>
        <w:t xml:space="preserve">Ostravě, </w:t>
      </w:r>
      <w:r w:rsidR="000E5E58">
        <w:rPr>
          <w:rFonts w:ascii="Arial" w:hAnsi="Arial" w:cs="Arial"/>
          <w:sz w:val="24"/>
          <w:szCs w:val="24"/>
        </w:rPr>
        <w:t>oddíl L, vložka 12221</w:t>
      </w:r>
    </w:p>
    <w:p w:rsidR="000E5E58" w:rsidRDefault="000E5E58" w:rsidP="00005E65">
      <w:pPr>
        <w:spacing w:after="120"/>
        <w:rPr>
          <w:rFonts w:ascii="Arial" w:hAnsi="Arial" w:cs="Arial"/>
          <w:sz w:val="24"/>
          <w:szCs w:val="24"/>
        </w:rPr>
      </w:pPr>
      <w:r w:rsidRPr="0014791A">
        <w:rPr>
          <w:rFonts w:ascii="Arial" w:hAnsi="Arial" w:cs="Arial"/>
          <w:sz w:val="24"/>
          <w:szCs w:val="24"/>
        </w:rPr>
        <w:t xml:space="preserve">Bankovní spojení: </w:t>
      </w:r>
      <w:r>
        <w:rPr>
          <w:rFonts w:ascii="Arial" w:hAnsi="Arial" w:cs="Arial"/>
          <w:sz w:val="24"/>
          <w:szCs w:val="24"/>
        </w:rPr>
        <w:t>Sberbank CZ</w:t>
      </w:r>
      <w:r w:rsidRPr="00377C93">
        <w:rPr>
          <w:rFonts w:ascii="Arial" w:hAnsi="Arial" w:cs="Arial"/>
          <w:sz w:val="24"/>
          <w:szCs w:val="24"/>
        </w:rPr>
        <w:t>, a.s.</w:t>
      </w:r>
      <w:r>
        <w:rPr>
          <w:rFonts w:ascii="Arial" w:hAnsi="Arial" w:cs="Arial"/>
          <w:sz w:val="24"/>
          <w:szCs w:val="24"/>
        </w:rPr>
        <w:t xml:space="preserve"> Brno, pobočka Olomouc, č. ú. 4070002800</w:t>
      </w:r>
      <w:r w:rsidRPr="0014791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6800</w:t>
      </w:r>
    </w:p>
    <w:p w:rsidR="00005E65" w:rsidRDefault="000E5E58" w:rsidP="00005E65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05E65">
        <w:rPr>
          <w:rFonts w:ascii="Arial" w:hAnsi="Arial" w:cs="Arial"/>
          <w:sz w:val="24"/>
          <w:szCs w:val="24"/>
        </w:rPr>
        <w:t>(dále jen „</w:t>
      </w:r>
      <w:r w:rsidR="00005E65">
        <w:rPr>
          <w:rFonts w:ascii="Arial" w:hAnsi="Arial" w:cs="Arial"/>
          <w:bCs/>
          <w:sz w:val="24"/>
          <w:szCs w:val="24"/>
        </w:rPr>
        <w:t>příjemce“</w:t>
      </w:r>
      <w:r w:rsidR="00005E65">
        <w:rPr>
          <w:rFonts w:ascii="Arial" w:hAnsi="Arial" w:cs="Arial"/>
          <w:sz w:val="24"/>
          <w:szCs w:val="24"/>
        </w:rPr>
        <w:t>)</w:t>
      </w:r>
    </w:p>
    <w:p w:rsidR="00005E65" w:rsidRDefault="00005E65" w:rsidP="00005E65">
      <w:pPr>
        <w:spacing w:after="120"/>
        <w:rPr>
          <w:rFonts w:ascii="Arial" w:hAnsi="Arial" w:cs="Arial"/>
          <w:sz w:val="24"/>
          <w:szCs w:val="24"/>
        </w:rPr>
      </w:pPr>
    </w:p>
    <w:p w:rsidR="00005E65" w:rsidRDefault="00005E65" w:rsidP="00005E65">
      <w:pPr>
        <w:snapToGrid w:val="0"/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uzavírají níže uvedeného dne, měsíce a roku</w:t>
      </w:r>
      <w:r>
        <w:rPr>
          <w:rFonts w:ascii="Arial" w:hAnsi="Arial" w:cs="Arial"/>
          <w:b/>
          <w:bCs/>
          <w:sz w:val="24"/>
          <w:szCs w:val="24"/>
        </w:rPr>
        <w:br/>
        <w:t>tuto smlouvu o poskytnutí dotace:</w:t>
      </w:r>
    </w:p>
    <w:p w:rsidR="00005E65" w:rsidRDefault="00005E65" w:rsidP="00005E65">
      <w:pPr>
        <w:spacing w:before="360" w:after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</w:t>
      </w:r>
    </w:p>
    <w:p w:rsidR="00005E65" w:rsidRPr="00285125" w:rsidRDefault="00005E65" w:rsidP="000E5E58">
      <w:pPr>
        <w:numPr>
          <w:ilvl w:val="0"/>
          <w:numId w:val="35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Poskytovatel se na základě této smlouvy zavazuje poskytnout příjemci dotaci ve výši </w:t>
      </w:r>
      <w:r w:rsidR="00917B15">
        <w:rPr>
          <w:rFonts w:ascii="Arial" w:hAnsi="Arial" w:cs="Arial"/>
          <w:sz w:val="24"/>
          <w:szCs w:val="24"/>
        </w:rPr>
        <w:t>1 </w:t>
      </w:r>
      <w:r>
        <w:rPr>
          <w:rFonts w:ascii="Arial" w:hAnsi="Arial" w:cs="Arial"/>
          <w:sz w:val="24"/>
          <w:szCs w:val="24"/>
        </w:rPr>
        <w:t>5</w:t>
      </w:r>
      <w:r w:rsidR="00917B15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0 000 Kč, slovy: </w:t>
      </w:r>
      <w:r w:rsidR="00917B15">
        <w:rPr>
          <w:rFonts w:ascii="Arial" w:hAnsi="Arial" w:cs="Arial"/>
          <w:sz w:val="24"/>
          <w:szCs w:val="24"/>
        </w:rPr>
        <w:t>jedenmilionpětset</w:t>
      </w:r>
      <w:r>
        <w:rPr>
          <w:rFonts w:ascii="Arial" w:hAnsi="Arial" w:cs="Arial"/>
          <w:sz w:val="24"/>
          <w:szCs w:val="24"/>
        </w:rPr>
        <w:t xml:space="preserve">tisíckorun českých (dále jen „dotace“) za účelem </w:t>
      </w:r>
      <w:r w:rsidRPr="00722D0C">
        <w:rPr>
          <w:rFonts w:ascii="Arial" w:hAnsi="Arial" w:cs="Arial"/>
          <w:sz w:val="24"/>
          <w:szCs w:val="24"/>
        </w:rPr>
        <w:t>Individuální dotace z rozpočtu Olomouckého kraje 2017 v oblasti strategického rozvoje kraje.</w:t>
      </w:r>
    </w:p>
    <w:p w:rsidR="004B790F" w:rsidRDefault="00005E65" w:rsidP="004B790F">
      <w:pPr>
        <w:numPr>
          <w:ilvl w:val="0"/>
          <w:numId w:val="35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722D0C">
        <w:rPr>
          <w:rFonts w:ascii="Arial" w:hAnsi="Arial" w:cs="Arial"/>
          <w:sz w:val="24"/>
          <w:szCs w:val="24"/>
        </w:rPr>
        <w:t>Účelem poskytnutí dotace je</w:t>
      </w:r>
      <w:r w:rsidRPr="004B790F">
        <w:rPr>
          <w:rFonts w:ascii="Arial" w:hAnsi="Arial" w:cs="Arial"/>
          <w:sz w:val="24"/>
          <w:szCs w:val="24"/>
        </w:rPr>
        <w:t xml:space="preserve"> </w:t>
      </w:r>
      <w:r w:rsidRPr="00722D0C">
        <w:rPr>
          <w:rFonts w:ascii="Arial" w:hAnsi="Arial" w:cs="Arial"/>
          <w:sz w:val="24"/>
          <w:szCs w:val="24"/>
        </w:rPr>
        <w:t xml:space="preserve">částečná úhrada výdajů na celoroční činnost, konkrétně na </w:t>
      </w:r>
    </w:p>
    <w:p w:rsidR="004B790F" w:rsidRPr="004B790F" w:rsidRDefault="004B790F" w:rsidP="004B790F">
      <w:pPr>
        <w:numPr>
          <w:ilvl w:val="0"/>
          <w:numId w:val="41"/>
        </w:numPr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4B790F">
        <w:rPr>
          <w:rFonts w:ascii="Arial" w:hAnsi="Arial" w:cs="Arial"/>
          <w:sz w:val="24"/>
          <w:szCs w:val="24"/>
        </w:rPr>
        <w:t xml:space="preserve">poskytování poradenských služeb na území Olomouckého kraje pro obce, včetně svazků, ve kterých jsou zúčastněny obce a jejich zřízené a založené organizace, a neziskové organizace v oblasti přípravy a řízení projektů, při přípravě </w:t>
      </w:r>
      <w:r w:rsidRPr="004B790F">
        <w:rPr>
          <w:rFonts w:ascii="Arial" w:hAnsi="Arial" w:cs="Arial"/>
          <w:sz w:val="24"/>
          <w:szCs w:val="24"/>
        </w:rPr>
        <w:lastRenderedPageBreak/>
        <w:t>nemovitostí pro rozvoj podnikání, včetně vyhledávání vhodných finančních zdrojů,</w:t>
      </w:r>
    </w:p>
    <w:p w:rsidR="004B790F" w:rsidRPr="004B790F" w:rsidRDefault="004B790F" w:rsidP="004B790F">
      <w:pPr>
        <w:numPr>
          <w:ilvl w:val="0"/>
          <w:numId w:val="41"/>
        </w:numPr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4B790F">
        <w:rPr>
          <w:rFonts w:ascii="Arial" w:hAnsi="Arial" w:cs="Arial"/>
          <w:sz w:val="24"/>
          <w:szCs w:val="24"/>
        </w:rPr>
        <w:t>pomoc při zpracování projektových žádostí nebo jejich částí, přípravě a realizaci zadávání veřejných zakázek pro obce, včetně svazků, ve kterých jsou zúčastněny obce a jejich zřízené a založené organizace, a neziskové organizace na území Olomouckého kraje,</w:t>
      </w:r>
    </w:p>
    <w:p w:rsidR="004B790F" w:rsidRPr="004B790F" w:rsidRDefault="004B790F" w:rsidP="004B790F">
      <w:pPr>
        <w:numPr>
          <w:ilvl w:val="0"/>
          <w:numId w:val="41"/>
        </w:numPr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4B790F">
        <w:rPr>
          <w:rFonts w:ascii="Arial" w:hAnsi="Arial" w:cs="Arial"/>
          <w:sz w:val="24"/>
          <w:szCs w:val="24"/>
        </w:rPr>
        <w:t>přípravu a realizaci vzdělávacích a osvětových aktivit pro obce, včetně svazků, ve kterých jsou zúčastněny obce a jejich zřízené a založené organizace, a neziskové organizace na území Olomouckého kraje v oblasti projektového managementu, legislativních povinností nebo veřejných zakázek,</w:t>
      </w:r>
    </w:p>
    <w:p w:rsidR="004B790F" w:rsidRPr="004B790F" w:rsidRDefault="004B790F" w:rsidP="004B790F">
      <w:pPr>
        <w:numPr>
          <w:ilvl w:val="0"/>
          <w:numId w:val="41"/>
        </w:numPr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4B790F">
        <w:rPr>
          <w:rFonts w:ascii="Arial" w:hAnsi="Arial" w:cs="Arial"/>
          <w:sz w:val="24"/>
          <w:szCs w:val="24"/>
        </w:rPr>
        <w:t>poradenství při startu podnikatelské činnosti a spolupráce při nalezení vhodných lokalit na území Olomouckého kraje,</w:t>
      </w:r>
    </w:p>
    <w:p w:rsidR="004B790F" w:rsidRPr="004B790F" w:rsidRDefault="004B790F" w:rsidP="004B790F">
      <w:pPr>
        <w:numPr>
          <w:ilvl w:val="0"/>
          <w:numId w:val="41"/>
        </w:numPr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4B790F">
        <w:rPr>
          <w:rFonts w:ascii="Arial" w:hAnsi="Arial" w:cs="Arial"/>
          <w:sz w:val="24"/>
          <w:szCs w:val="24"/>
        </w:rPr>
        <w:t>vyhledávání, poradenství při přípravě, příprava a spolupráce na realizaci přeshraničních a mezinárodních projektů se zapojením subjektů z Olomouckého kraje, včetně jednání se zahraničními partnery.</w:t>
      </w:r>
    </w:p>
    <w:p w:rsidR="00005E65" w:rsidRDefault="00005E65" w:rsidP="000E5E58">
      <w:pPr>
        <w:numPr>
          <w:ilvl w:val="0"/>
          <w:numId w:val="35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Dotace bude poskytnuta převodem na bankovní účet příjemce uvedený v záhlaví této smlouvy do 21 dnů ode dne nabytí účinnosti této smlouvy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Za den poskytnutí dotace se pro účely této smlouvy považuje den odepsání finančních prostředků z účtu poskytovatele ve prospěch účtu příjemce.</w:t>
      </w:r>
    </w:p>
    <w:p w:rsidR="00005E65" w:rsidRPr="000E5E58" w:rsidRDefault="00005E65" w:rsidP="000E5E58">
      <w:pPr>
        <w:numPr>
          <w:ilvl w:val="0"/>
          <w:numId w:val="35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0E5E58">
        <w:rPr>
          <w:rFonts w:ascii="Arial" w:hAnsi="Arial" w:cs="Arial"/>
          <w:sz w:val="24"/>
          <w:szCs w:val="24"/>
        </w:rPr>
        <w:t>Dotace se poskytuje na účel stanovený v čl. I odst. 2 této smlouvy jako dotace neinvestiční</w:t>
      </w:r>
      <w:r w:rsidRPr="000E5E58">
        <w:rPr>
          <w:rFonts w:ascii="Arial" w:hAnsi="Arial" w:cs="Arial"/>
          <w:i/>
          <w:iCs/>
          <w:sz w:val="24"/>
          <w:szCs w:val="24"/>
        </w:rPr>
        <w:t>.</w:t>
      </w:r>
    </w:p>
    <w:p w:rsidR="00005E65" w:rsidRPr="000E5E58" w:rsidRDefault="00005E65" w:rsidP="00005E65">
      <w:pPr>
        <w:spacing w:after="120"/>
        <w:ind w:left="567"/>
        <w:rPr>
          <w:rFonts w:ascii="Arial" w:hAnsi="Arial" w:cs="Arial"/>
          <w:sz w:val="24"/>
          <w:szCs w:val="24"/>
        </w:rPr>
      </w:pPr>
      <w:r w:rsidRPr="000E5E58">
        <w:rPr>
          <w:rFonts w:ascii="Arial" w:hAnsi="Arial" w:cs="Arial"/>
          <w:sz w:val="24"/>
          <w:szCs w:val="24"/>
        </w:rPr>
        <w:t>Pro účely této smlouvy se neinvestiční dotací rozumí dotace, která musí být použita na úhradu jiných výdajů než:</w:t>
      </w:r>
    </w:p>
    <w:p w:rsidR="00005E65" w:rsidRPr="000E5E58" w:rsidRDefault="00005E65" w:rsidP="007F2271">
      <w:pPr>
        <w:numPr>
          <w:ilvl w:val="0"/>
          <w:numId w:val="38"/>
        </w:numPr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0E5E58">
        <w:rPr>
          <w:rFonts w:ascii="Arial" w:hAnsi="Arial" w:cs="Arial"/>
          <w:sz w:val="24"/>
          <w:szCs w:val="24"/>
        </w:rPr>
        <w:t>výdajů spojených s pořízením hmotného majetku dle § 26 odst. 2 zákona č. 586/1992 Sb., o daních z příjmů, ve znění pozdějších předpisů (dále jen „cit. zákona“),</w:t>
      </w:r>
    </w:p>
    <w:p w:rsidR="00005E65" w:rsidRPr="000E5E58" w:rsidRDefault="00005E65" w:rsidP="007F2271">
      <w:pPr>
        <w:numPr>
          <w:ilvl w:val="0"/>
          <w:numId w:val="38"/>
        </w:numPr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0E5E58">
        <w:rPr>
          <w:rFonts w:ascii="Arial" w:hAnsi="Arial" w:cs="Arial"/>
          <w:sz w:val="24"/>
          <w:szCs w:val="24"/>
        </w:rPr>
        <w:t>výdajů spojených s pořízením nehmotného majetku dle § 32a odst. 1 a 2 cit. zákona,</w:t>
      </w:r>
    </w:p>
    <w:p w:rsidR="00005E65" w:rsidRPr="000E5E58" w:rsidRDefault="00005E65" w:rsidP="007F2271">
      <w:pPr>
        <w:numPr>
          <w:ilvl w:val="0"/>
          <w:numId w:val="38"/>
        </w:numPr>
        <w:spacing w:after="120"/>
        <w:ind w:left="993" w:hanging="426"/>
        <w:jc w:val="both"/>
        <w:rPr>
          <w:rFonts w:ascii="Arial" w:hAnsi="Arial" w:cs="Arial"/>
          <w:sz w:val="24"/>
          <w:szCs w:val="24"/>
        </w:rPr>
      </w:pPr>
      <w:r w:rsidRPr="000E5E58">
        <w:rPr>
          <w:rFonts w:ascii="Arial" w:hAnsi="Arial" w:cs="Arial"/>
          <w:sz w:val="24"/>
          <w:szCs w:val="24"/>
        </w:rPr>
        <w:t>výdajů spojených s technickým zhodnocením, rekonstrukcí a modernizací ve smyslu § 33 cit. zákona.</w:t>
      </w:r>
    </w:p>
    <w:p w:rsidR="00005E65" w:rsidRDefault="00005E65" w:rsidP="00005E65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</w:t>
      </w:r>
    </w:p>
    <w:p w:rsidR="00005E65" w:rsidRDefault="00005E65" w:rsidP="000E5E58">
      <w:pPr>
        <w:numPr>
          <w:ilvl w:val="0"/>
          <w:numId w:val="36"/>
        </w:numPr>
        <w:tabs>
          <w:tab w:val="left" w:pos="810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Příjemce dotaci přijímá a zavazuje se ji použít výlučně v souladu s účelem poskytnutí dotace dle čl. I odst. 2 a 4 této smlouvy, v souladu s podmínkami stanovenými v této smlouvě a v souladu se </w:t>
      </w:r>
      <w:r w:rsidRPr="00C45A1B">
        <w:rPr>
          <w:rFonts w:ascii="Arial" w:hAnsi="Arial" w:cs="Arial"/>
          <w:sz w:val="24"/>
          <w:szCs w:val="24"/>
        </w:rPr>
        <w:t>Zásad</w:t>
      </w:r>
      <w:r>
        <w:rPr>
          <w:rFonts w:ascii="Arial" w:hAnsi="Arial" w:cs="Arial"/>
          <w:sz w:val="24"/>
          <w:szCs w:val="24"/>
        </w:rPr>
        <w:t>ami</w:t>
      </w:r>
      <w:r w:rsidRPr="00C45A1B">
        <w:rPr>
          <w:rFonts w:ascii="Arial" w:hAnsi="Arial" w:cs="Arial"/>
          <w:sz w:val="24"/>
          <w:szCs w:val="24"/>
        </w:rPr>
        <w:t xml:space="preserve"> pro poskytování individuálních dotací z rozpočtu Olomouckého kraje v roce 2017</w:t>
      </w:r>
      <w:r w:rsidRPr="001235B9">
        <w:rPr>
          <w:rFonts w:ascii="Arial" w:hAnsi="Arial" w:cs="Arial"/>
          <w:iCs/>
          <w:sz w:val="24"/>
          <w:szCs w:val="24"/>
        </w:rPr>
        <w:t xml:space="preserve"> (dále také jen „Pravidla“). </w:t>
      </w:r>
      <w:r w:rsidRPr="001235B9">
        <w:rPr>
          <w:rFonts w:ascii="Arial" w:hAnsi="Arial" w:cs="Arial"/>
          <w:sz w:val="24"/>
          <w:szCs w:val="24"/>
        </w:rPr>
        <w:t xml:space="preserve">Dotace musí </w:t>
      </w:r>
      <w:r>
        <w:rPr>
          <w:rFonts w:ascii="Arial" w:hAnsi="Arial" w:cs="Arial"/>
          <w:sz w:val="24"/>
          <w:szCs w:val="24"/>
        </w:rPr>
        <w:t>být použita hospodárně.</w:t>
      </w:r>
    </w:p>
    <w:p w:rsidR="004B790F" w:rsidRDefault="004B790F" w:rsidP="00005E65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</w:p>
    <w:p w:rsidR="00005E65" w:rsidRDefault="00005E65" w:rsidP="00005E65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</w:t>
      </w:r>
      <w:r>
        <w:rPr>
          <w:rFonts w:ascii="Arial" w:hAnsi="Arial" w:cs="Arial"/>
          <w:iCs/>
          <w:sz w:val="24"/>
          <w:szCs w:val="24"/>
        </w:rPr>
        <w:lastRenderedPageBreak/>
        <w:t xml:space="preserve">daně z přijatých zdanitelných plnění v souvislosti s realizací činnosti, na kterou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005E65" w:rsidRPr="00007016" w:rsidRDefault="00005E65" w:rsidP="00005E65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007016">
        <w:rPr>
          <w:rFonts w:ascii="Arial" w:hAnsi="Arial" w:cs="Arial"/>
          <w:iCs/>
          <w:sz w:val="24"/>
          <w:szCs w:val="24"/>
        </w:rPr>
        <w:t>V případě, že se příjemce stane plátcem DPH v průběhu čerpání dotace a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jeho právo uplatnit odpočet DPH při registraci podle §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79 ZDPH se vztahuje na zdanitelná plnění hrazená včetně příslušné DPH z dotace, je příjemce povinen snížit výši dosud čerpané dotace o výši daně z přidané hodnoty</w:t>
      </w:r>
      <w:r>
        <w:rPr>
          <w:rFonts w:ascii="Arial" w:hAnsi="Arial" w:cs="Arial"/>
          <w:iCs/>
          <w:sz w:val="24"/>
          <w:szCs w:val="24"/>
        </w:rPr>
        <w:t>, kterou je příjemce oprávněn v </w:t>
      </w:r>
      <w:r w:rsidRPr="00007016">
        <w:rPr>
          <w:rFonts w:ascii="Arial" w:hAnsi="Arial" w:cs="Arial"/>
          <w:iCs/>
          <w:sz w:val="24"/>
          <w:szCs w:val="24"/>
        </w:rPr>
        <w:t>souladu §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79 ZDPH uplatnit v prvním daňovém přiznání po registraci k DPH.</w:t>
      </w:r>
    </w:p>
    <w:p w:rsidR="00005E65" w:rsidRPr="00007016" w:rsidRDefault="00005E65" w:rsidP="00005E65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007016">
        <w:rPr>
          <w:rFonts w:ascii="Arial" w:hAnsi="Arial" w:cs="Arial"/>
          <w:iCs/>
          <w:sz w:val="24"/>
          <w:szCs w:val="24"/>
        </w:rPr>
        <w:t>V případě, že dojde k registraci příjemce k DPH a příjemce při registraci podle §</w:t>
      </w:r>
      <w:r>
        <w:rPr>
          <w:rFonts w:ascii="Arial" w:hAnsi="Arial" w:cs="Arial"/>
          <w:iCs/>
          <w:sz w:val="24"/>
          <w:szCs w:val="24"/>
        </w:rPr>
        <w:t> </w:t>
      </w:r>
      <w:r w:rsidRPr="00007016">
        <w:rPr>
          <w:rFonts w:ascii="Arial" w:hAnsi="Arial" w:cs="Arial"/>
          <w:iCs/>
          <w:sz w:val="24"/>
          <w:szCs w:val="24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005E65" w:rsidRDefault="00005E65" w:rsidP="00005E65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  <w:sz w:val="24"/>
          <w:szCs w:val="24"/>
        </w:rPr>
      </w:pPr>
      <w:r w:rsidRPr="00FF0879">
        <w:rPr>
          <w:rFonts w:ascii="Arial" w:hAnsi="Arial" w:cs="Arial"/>
          <w:iCs/>
          <w:sz w:val="24"/>
          <w:szCs w:val="24"/>
        </w:rPr>
        <w:t xml:space="preserve">Pokud má příjemce (plátce daně) ve </w:t>
      </w:r>
      <w:r w:rsidRPr="00C8040A">
        <w:rPr>
          <w:rFonts w:ascii="Arial" w:hAnsi="Arial" w:cs="Arial"/>
          <w:iCs/>
          <w:sz w:val="24"/>
          <w:szCs w:val="24"/>
        </w:rPr>
        <w:t>shodě s opravou odpočtu podle § 75 ZDPH, vypořádáním odpočtu podle § 76 ZDPH a úpravou odpočtu</w:t>
      </w:r>
      <w:r w:rsidRPr="00FF0879">
        <w:rPr>
          <w:rFonts w:ascii="Arial" w:hAnsi="Arial" w:cs="Arial"/>
          <w:iCs/>
          <w:sz w:val="24"/>
          <w:szCs w:val="24"/>
        </w:rPr>
        <w:t xml:space="preserve">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005E65" w:rsidRDefault="00005E65" w:rsidP="00005E65">
      <w:pPr>
        <w:spacing w:after="120"/>
        <w:ind w:lef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Nevrátí-li příjemce takovou část dotace v této lhůtě, dopustí se porušení rozpočtové kázně ve smyslu ust. § 22 zákona č. 250/2000 Sb., o rozpočtových pravidlech územních rozpočtů, ve znění pozdějších předpisů.</w:t>
      </w:r>
    </w:p>
    <w:p w:rsidR="00005E65" w:rsidRDefault="00005E65" w:rsidP="00005E65">
      <w:pPr>
        <w:spacing w:after="120"/>
        <w:ind w:left="567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Dotaci nelze rovněž použít na úhradu ostatních daní.</w:t>
      </w:r>
    </w:p>
    <w:p w:rsidR="00005E65" w:rsidRDefault="00005E65" w:rsidP="00005E65">
      <w:pPr>
        <w:spacing w:after="12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 předchozího písemného souhlasu poskytovatele nesmí příjemce dotaci nebo její část poskytnout třetí osobě, není-li touto smlouvou stanoveno jinak.</w:t>
      </w:r>
    </w:p>
    <w:p w:rsidR="00005E65" w:rsidRPr="00F6755C" w:rsidRDefault="00005E65" w:rsidP="00005E65">
      <w:pPr>
        <w:spacing w:after="12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je povinen vést dotaci ve svém účetnictví odděleně.</w:t>
      </w:r>
    </w:p>
    <w:p w:rsidR="00005E65" w:rsidRDefault="00005E65" w:rsidP="000E5E58">
      <w:pPr>
        <w:numPr>
          <w:ilvl w:val="0"/>
          <w:numId w:val="36"/>
        </w:numPr>
        <w:spacing w:after="12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je povinen použít poskytnutou dotaci nejpozději do 31. 12. 2017</w:t>
      </w:r>
      <w:r>
        <w:rPr>
          <w:rFonts w:ascii="Arial" w:hAnsi="Arial" w:cs="Arial"/>
          <w:i/>
          <w:iCs/>
          <w:sz w:val="24"/>
          <w:szCs w:val="24"/>
        </w:rPr>
        <w:t xml:space="preserve">. </w:t>
      </w:r>
    </w:p>
    <w:p w:rsidR="00005E65" w:rsidRPr="006B454A" w:rsidRDefault="00005E65" w:rsidP="00005E65">
      <w:pPr>
        <w:spacing w:after="120"/>
        <w:ind w:left="567"/>
        <w:rPr>
          <w:rFonts w:ascii="Arial" w:hAnsi="Arial" w:cs="Arial"/>
          <w:i/>
          <w:iCs/>
          <w:sz w:val="24"/>
          <w:szCs w:val="24"/>
        </w:rPr>
      </w:pPr>
      <w:r w:rsidRPr="006B454A">
        <w:rPr>
          <w:rFonts w:ascii="Arial" w:hAnsi="Arial" w:cs="Arial"/>
          <w:iCs/>
          <w:sz w:val="24"/>
          <w:szCs w:val="24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>
        <w:rPr>
          <w:rFonts w:ascii="Arial" w:hAnsi="Arial" w:cs="Arial"/>
          <w:iCs/>
          <w:sz w:val="24"/>
          <w:szCs w:val="24"/>
        </w:rPr>
        <w:t>1. 1. 2017</w:t>
      </w:r>
      <w:r w:rsidRPr="006B454A">
        <w:rPr>
          <w:rFonts w:ascii="Arial" w:hAnsi="Arial" w:cs="Arial"/>
          <w:iCs/>
          <w:sz w:val="24"/>
          <w:szCs w:val="24"/>
        </w:rPr>
        <w:t xml:space="preserve"> do uzavření této smlouvy.</w:t>
      </w:r>
    </w:p>
    <w:p w:rsidR="00005E65" w:rsidRDefault="00005E65" w:rsidP="000E5E58">
      <w:pPr>
        <w:numPr>
          <w:ilvl w:val="0"/>
          <w:numId w:val="36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005E65" w:rsidRPr="00935CA8" w:rsidRDefault="00005E65" w:rsidP="000E5E58">
      <w:pPr>
        <w:numPr>
          <w:ilvl w:val="0"/>
          <w:numId w:val="36"/>
        </w:numPr>
        <w:tabs>
          <w:tab w:val="left" w:pos="540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je povinen nejpozději do 30. 1. 2018 předložit poskytovateli vyúčtování poskytnuté dotace (dále jen „vyúčtování“).</w:t>
      </w:r>
    </w:p>
    <w:p w:rsidR="00005E65" w:rsidRDefault="00005E65" w:rsidP="00005E65">
      <w:pPr>
        <w:tabs>
          <w:tab w:val="left" w:pos="540"/>
        </w:tabs>
        <w:spacing w:after="120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Vyúčtování musí obsahovat:</w:t>
      </w:r>
    </w:p>
    <w:p w:rsidR="00005E65" w:rsidRPr="00BC325E" w:rsidRDefault="00005E65" w:rsidP="00005E65">
      <w:pPr>
        <w:spacing w:after="120"/>
        <w:ind w:left="1287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</w:t>
      </w:r>
      <w:r>
        <w:rPr>
          <w:rFonts w:ascii="Arial" w:hAnsi="Arial" w:cs="Arial"/>
          <w:sz w:val="24"/>
          <w:szCs w:val="24"/>
        </w:rPr>
        <w:tab/>
        <w:t>soupis výdajů hrazených z poskytnuté dotace v rozsahu uvedeném v příloze č. 1 „</w:t>
      </w:r>
      <w:r w:rsidRPr="00C8040A">
        <w:rPr>
          <w:rFonts w:ascii="Arial" w:hAnsi="Arial" w:cs="Arial"/>
          <w:sz w:val="24"/>
          <w:szCs w:val="24"/>
        </w:rPr>
        <w:t>finanční vyúčtování dotace - vzor na rok 2017</w:t>
      </w:r>
      <w:r>
        <w:rPr>
          <w:rFonts w:ascii="Arial" w:hAnsi="Arial" w:cs="Arial"/>
          <w:sz w:val="24"/>
          <w:szCs w:val="24"/>
        </w:rPr>
        <w:t>“</w:t>
      </w:r>
      <w:r w:rsidRPr="00B428E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Příloha č. 1 je pro příjemce k dispozici v elektronické formě na webu poskytovatele </w:t>
      </w:r>
      <w:hyperlink r:id="rId15" w:history="1">
        <w:r w:rsidRPr="00663ED6">
          <w:rPr>
            <w:rStyle w:val="Hypertextovodkaz"/>
            <w:rFonts w:ascii="Arial" w:hAnsi="Arial" w:cs="Arial"/>
            <w:b/>
            <w:sz w:val="24"/>
            <w:szCs w:val="24"/>
          </w:rPr>
          <w:t>https://www.kr-olomoucky.cz/vyuctovani-prispevku-dotace-cl-3802.html</w:t>
        </w:r>
      </w:hyperlink>
      <w:r w:rsidRPr="00BC325E">
        <w:rPr>
          <w:rFonts w:ascii="Arial" w:hAnsi="Arial" w:cs="Arial"/>
          <w:sz w:val="24"/>
          <w:szCs w:val="24"/>
        </w:rPr>
        <w:t>. Tento soupis výdajů bude doložen:</w:t>
      </w:r>
    </w:p>
    <w:p w:rsidR="00005E65" w:rsidRPr="00BC325E" w:rsidRDefault="00005E65" w:rsidP="007F2271">
      <w:pPr>
        <w:numPr>
          <w:ilvl w:val="0"/>
          <w:numId w:val="39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BC325E">
        <w:rPr>
          <w:rFonts w:ascii="Arial" w:hAnsi="Arial" w:cs="Arial"/>
          <w:sz w:val="24"/>
          <w:szCs w:val="24"/>
        </w:rPr>
        <w:lastRenderedPageBreak/>
        <w:t>fotokopiemi všech výpisů z bankovního účtu, které dokládají úhradu jednotlivých dokladů a faktur, s vyznačením dotčených plateb,</w:t>
      </w:r>
    </w:p>
    <w:p w:rsidR="00005E65" w:rsidRPr="00BC325E" w:rsidRDefault="00005E65" w:rsidP="007F2271">
      <w:pPr>
        <w:numPr>
          <w:ilvl w:val="0"/>
          <w:numId w:val="39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C325E">
        <w:rPr>
          <w:rFonts w:ascii="Arial" w:hAnsi="Arial" w:cs="Arial"/>
          <w:sz w:val="24"/>
          <w:szCs w:val="24"/>
        </w:rPr>
        <w:t xml:space="preserve">čestným prohlášením, že fotokopie předaných dokladů jsou shodné s originály a výdaje uvedené v soupisu jsou shodné se záznamy v účetnictví příjemce </w:t>
      </w:r>
      <w:r w:rsidRPr="00765F80">
        <w:rPr>
          <w:rFonts w:ascii="Arial" w:hAnsi="Arial" w:cs="Arial"/>
          <w:i/>
          <w:color w:val="0000FF"/>
          <w:sz w:val="24"/>
          <w:szCs w:val="24"/>
        </w:rPr>
        <w:t>(čestné prohlášení je zapracováno v textu přílohy č. 1)</w:t>
      </w:r>
      <w:r w:rsidRPr="00BC325E">
        <w:rPr>
          <w:rFonts w:ascii="Arial" w:hAnsi="Arial" w:cs="Arial"/>
          <w:sz w:val="24"/>
          <w:szCs w:val="24"/>
        </w:rPr>
        <w:t>.</w:t>
      </w:r>
    </w:p>
    <w:p w:rsidR="00005E65" w:rsidRDefault="00005E65" w:rsidP="00005E65">
      <w:pPr>
        <w:spacing w:after="120"/>
        <w:ind w:left="567"/>
        <w:rPr>
          <w:rFonts w:ascii="Arial" w:hAnsi="Arial" w:cs="Arial"/>
          <w:sz w:val="24"/>
          <w:szCs w:val="24"/>
        </w:rPr>
      </w:pPr>
      <w:r w:rsidRPr="00BC74DF">
        <w:rPr>
          <w:rFonts w:ascii="Arial" w:hAnsi="Arial" w:cs="Arial"/>
          <w:sz w:val="24"/>
          <w:szCs w:val="24"/>
        </w:rPr>
        <w:t>Společně s vyúčtováním příjemce předloží poskytovateli závěrečnou zprávu.</w:t>
      </w:r>
    </w:p>
    <w:p w:rsidR="00005E65" w:rsidRDefault="00005E65" w:rsidP="00005E65">
      <w:pPr>
        <w:spacing w:after="120"/>
        <w:ind w:left="567"/>
        <w:jc w:val="both"/>
        <w:rPr>
          <w:rFonts w:ascii="Arial" w:hAnsi="Arial" w:cs="Arial"/>
          <w:i/>
          <w:iCs/>
          <w:sz w:val="24"/>
          <w:szCs w:val="24"/>
        </w:rPr>
      </w:pPr>
      <w:r w:rsidRPr="00C81BD7">
        <w:rPr>
          <w:rFonts w:ascii="Arial" w:hAnsi="Arial" w:cs="Arial"/>
          <w:sz w:val="24"/>
          <w:szCs w:val="24"/>
        </w:rPr>
        <w:t>Závěrečná zpráva musí obsahovat</w:t>
      </w:r>
      <w:r>
        <w:rPr>
          <w:rFonts w:ascii="Arial" w:hAnsi="Arial" w:cs="Arial"/>
          <w:sz w:val="24"/>
          <w:szCs w:val="24"/>
        </w:rPr>
        <w:t xml:space="preserve"> </w:t>
      </w:r>
      <w:r w:rsidRPr="00857B18">
        <w:rPr>
          <w:rFonts w:ascii="Arial" w:hAnsi="Arial" w:cs="Arial"/>
          <w:sz w:val="24"/>
          <w:szCs w:val="24"/>
        </w:rPr>
        <w:t>popis</w:t>
      </w:r>
      <w:r w:rsidR="007F2271">
        <w:rPr>
          <w:rFonts w:ascii="Arial" w:hAnsi="Arial" w:cs="Arial"/>
          <w:sz w:val="24"/>
          <w:szCs w:val="24"/>
        </w:rPr>
        <w:t xml:space="preserve"> a</w:t>
      </w:r>
      <w:r w:rsidRPr="00857B18">
        <w:rPr>
          <w:rFonts w:ascii="Arial" w:hAnsi="Arial" w:cs="Arial"/>
          <w:sz w:val="24"/>
          <w:szCs w:val="24"/>
        </w:rPr>
        <w:t xml:space="preserve"> zhodnocení </w:t>
      </w:r>
      <w:r w:rsidR="007F2271">
        <w:rPr>
          <w:rFonts w:ascii="Arial" w:hAnsi="Arial" w:cs="Arial"/>
          <w:sz w:val="24"/>
          <w:szCs w:val="24"/>
        </w:rPr>
        <w:t>akce</w:t>
      </w:r>
      <w:r w:rsidRPr="00857B18">
        <w:rPr>
          <w:rFonts w:ascii="Arial" w:hAnsi="Arial" w:cs="Arial"/>
          <w:sz w:val="24"/>
          <w:szCs w:val="24"/>
        </w:rPr>
        <w:t>, dále pak zdůvodnění oprávněnosti použití poskytnuté dotace v souladu s čl. I odst. 2 a 4 a čl. II. odst. 1 této smlouvy</w:t>
      </w:r>
      <w:r w:rsidRPr="00C81BD7">
        <w:rPr>
          <w:rFonts w:ascii="Arial" w:hAnsi="Arial" w:cs="Arial"/>
          <w:i/>
          <w:i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V příloze </w:t>
      </w:r>
      <w:r w:rsidRPr="00C81BD7">
        <w:rPr>
          <w:rFonts w:ascii="Arial" w:hAnsi="Arial" w:cs="Arial"/>
          <w:sz w:val="24"/>
          <w:szCs w:val="24"/>
        </w:rPr>
        <w:t>závěrečn</w:t>
      </w:r>
      <w:r>
        <w:rPr>
          <w:rFonts w:ascii="Arial" w:hAnsi="Arial" w:cs="Arial"/>
          <w:sz w:val="24"/>
          <w:szCs w:val="24"/>
        </w:rPr>
        <w:t>é</w:t>
      </w:r>
      <w:r w:rsidRPr="00C81BD7">
        <w:rPr>
          <w:rFonts w:ascii="Arial" w:hAnsi="Arial" w:cs="Arial"/>
          <w:sz w:val="24"/>
          <w:szCs w:val="24"/>
        </w:rPr>
        <w:t xml:space="preserve"> zpráv</w:t>
      </w:r>
      <w:r>
        <w:rPr>
          <w:rFonts w:ascii="Arial" w:hAnsi="Arial" w:cs="Arial"/>
          <w:sz w:val="24"/>
          <w:szCs w:val="24"/>
        </w:rPr>
        <w:t>y</w:t>
      </w:r>
      <w:r w:rsidRPr="00C81BD7">
        <w:rPr>
          <w:rFonts w:ascii="Arial" w:hAnsi="Arial" w:cs="Arial"/>
          <w:sz w:val="24"/>
          <w:szCs w:val="24"/>
        </w:rPr>
        <w:t xml:space="preserve"> je příjemce povinen předložit poskytovateli</w:t>
      </w:r>
      <w:r>
        <w:rPr>
          <w:rFonts w:ascii="Arial" w:hAnsi="Arial" w:cs="Arial"/>
          <w:sz w:val="24"/>
          <w:szCs w:val="24"/>
        </w:rPr>
        <w:t xml:space="preserve"> </w:t>
      </w:r>
      <w:r w:rsidRPr="00857B18">
        <w:rPr>
          <w:rFonts w:ascii="Arial" w:hAnsi="Arial" w:cs="Arial"/>
          <w:sz w:val="24"/>
          <w:szCs w:val="24"/>
        </w:rPr>
        <w:t>fotodokumentaci o propagaci poskytovatele a užití jeho loga dle čl. II odst. 10 této smlouvy.</w:t>
      </w:r>
    </w:p>
    <w:p w:rsidR="00005E65" w:rsidRPr="0058756D" w:rsidRDefault="00005E65" w:rsidP="000E5E58">
      <w:pPr>
        <w:numPr>
          <w:ilvl w:val="0"/>
          <w:numId w:val="36"/>
        </w:numPr>
        <w:spacing w:after="12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dotace nebyla použita v celé výši ve lhůtě uvedené v čl. II odst. 2 této smlouvy</w:t>
      </w:r>
      <w:r w:rsidR="005244E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je příjemce povinen vrátit </w:t>
      </w:r>
      <w:r w:rsidRPr="00F50DE0">
        <w:rPr>
          <w:rFonts w:ascii="Arial" w:hAnsi="Arial" w:cs="Arial"/>
          <w:sz w:val="24"/>
          <w:szCs w:val="24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hAnsi="Arial" w:cs="Arial"/>
          <w:sz w:val="24"/>
          <w:szCs w:val="24"/>
        </w:rPr>
        <w:t>Nevrátí-li příjemce nevyčerpanou část dotace v této lhůtě, dopustí se porušení rozpočtové kázně ve smyslu ust. §</w:t>
      </w:r>
      <w:r>
        <w:rPr>
          <w:rFonts w:ascii="Arial" w:hAnsi="Arial" w:cs="Arial"/>
          <w:sz w:val="24"/>
          <w:szCs w:val="24"/>
        </w:rPr>
        <w:t> </w:t>
      </w:r>
      <w:r w:rsidRPr="0058756D">
        <w:rPr>
          <w:rFonts w:ascii="Arial" w:hAnsi="Arial" w:cs="Arial"/>
          <w:sz w:val="24"/>
          <w:szCs w:val="24"/>
        </w:rPr>
        <w:t>22 zákona č. 250/2000 Sb., o rozpočtových pravidlech územních rozpočtů</w:t>
      </w:r>
      <w:r>
        <w:rPr>
          <w:rFonts w:ascii="Arial" w:hAnsi="Arial" w:cs="Arial"/>
          <w:sz w:val="24"/>
          <w:szCs w:val="24"/>
        </w:rPr>
        <w:t>, ve znění pozdějších předpisů.</w:t>
      </w:r>
    </w:p>
    <w:p w:rsidR="00005E65" w:rsidRDefault="00005E65" w:rsidP="000E5E58">
      <w:pPr>
        <w:numPr>
          <w:ilvl w:val="0"/>
          <w:numId w:val="36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005E65" w:rsidRDefault="00005E65" w:rsidP="000E5E58">
      <w:pPr>
        <w:numPr>
          <w:ilvl w:val="0"/>
          <w:numId w:val="36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005E65" w:rsidTr="00AC2970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E65" w:rsidRDefault="00005E65" w:rsidP="00AC297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E65" w:rsidRDefault="00005E65" w:rsidP="00AC297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Výše odvodu v % z celkově poskytnuté dotace</w:t>
            </w:r>
          </w:p>
        </w:tc>
      </w:tr>
      <w:tr w:rsidR="00005E65" w:rsidTr="00AC297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E65" w:rsidRDefault="00005E65" w:rsidP="00AC297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E65" w:rsidRDefault="00005E65" w:rsidP="00AC29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005E65" w:rsidTr="00AC297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E65" w:rsidRDefault="00005E65" w:rsidP="00AC297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E65" w:rsidRDefault="00005E65" w:rsidP="00AC29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2%</w:t>
            </w:r>
          </w:p>
        </w:tc>
      </w:tr>
      <w:tr w:rsidR="00005E65" w:rsidTr="00AC297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E65" w:rsidRDefault="00005E65" w:rsidP="00AC297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E65" w:rsidRDefault="00005E65" w:rsidP="00AC29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005E65" w:rsidTr="00AC297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E65" w:rsidRDefault="00005E65" w:rsidP="00AC297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E65" w:rsidRDefault="00005E65" w:rsidP="00AC29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005E65" w:rsidTr="00AC297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E65" w:rsidRDefault="00005E65" w:rsidP="00AC297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E65" w:rsidRDefault="00005E65" w:rsidP="00AC29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  <w:tr w:rsidR="00005E65" w:rsidTr="00AC2970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E65" w:rsidRDefault="00005E65" w:rsidP="00AC297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E65" w:rsidRDefault="00005E65" w:rsidP="00AC297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5 %</w:t>
            </w:r>
          </w:p>
        </w:tc>
      </w:tr>
    </w:tbl>
    <w:p w:rsidR="00005E65" w:rsidRDefault="00005E65" w:rsidP="00005E65">
      <w:pPr>
        <w:spacing w:after="120"/>
        <w:ind w:left="567"/>
        <w:rPr>
          <w:rFonts w:ascii="Arial" w:hAnsi="Arial" w:cs="Arial"/>
          <w:iCs/>
          <w:sz w:val="24"/>
          <w:szCs w:val="24"/>
        </w:rPr>
      </w:pPr>
    </w:p>
    <w:p w:rsidR="004E134D" w:rsidRPr="008B0B51" w:rsidRDefault="004E134D" w:rsidP="004E134D">
      <w:pPr>
        <w:numPr>
          <w:ilvl w:val="0"/>
          <w:numId w:val="36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případě, že je příjemce dle této smlouvy povinen vrátit dotaci nebo její část</w:t>
      </w:r>
      <w:r w:rsidRPr="004E13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 roce 2017, vrátí příjemce dotaci nebo její část na účet poskytovatele č. </w:t>
      </w:r>
      <w:r w:rsidRPr="004E134D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noBreakHyphen/>
      </w:r>
      <w:r w:rsidRPr="004E134D">
        <w:rPr>
          <w:rFonts w:ascii="Arial" w:hAnsi="Arial" w:cs="Arial"/>
          <w:sz w:val="24"/>
          <w:szCs w:val="24"/>
        </w:rPr>
        <w:t>4228330207/0100</w:t>
      </w:r>
      <w:r>
        <w:rPr>
          <w:rFonts w:ascii="Arial" w:hAnsi="Arial" w:cs="Arial"/>
          <w:sz w:val="24"/>
          <w:szCs w:val="24"/>
        </w:rPr>
        <w:t>. V případě, že je příjemce dle této smlouvy povinen vrátit dotaci nebo její část v roce 2018, vrátí příjemce dotaci nebo její část</w:t>
      </w:r>
      <w:r w:rsidRPr="00D40813">
        <w:rPr>
          <w:rFonts w:ascii="Arial" w:hAnsi="Arial" w:cs="Arial"/>
          <w:sz w:val="24"/>
          <w:szCs w:val="24"/>
        </w:rPr>
        <w:t xml:space="preserve"> na účet poskytovatele č. </w:t>
      </w:r>
      <w:r w:rsidRPr="004E134D">
        <w:rPr>
          <w:rFonts w:ascii="Arial" w:hAnsi="Arial" w:cs="Arial"/>
          <w:sz w:val="24"/>
          <w:szCs w:val="24"/>
        </w:rPr>
        <w:t>27-4228320287/0100</w:t>
      </w:r>
      <w:r>
        <w:rPr>
          <w:rFonts w:ascii="Arial" w:hAnsi="Arial" w:cs="Arial"/>
          <w:sz w:val="24"/>
          <w:szCs w:val="24"/>
        </w:rPr>
        <w:t xml:space="preserve">. </w:t>
      </w:r>
      <w:r w:rsidRPr="00D40813">
        <w:rPr>
          <w:rFonts w:ascii="Arial" w:hAnsi="Arial" w:cs="Arial"/>
          <w:sz w:val="24"/>
          <w:szCs w:val="24"/>
        </w:rPr>
        <w:t xml:space="preserve">Případný odvod či penále se hradí </w:t>
      </w:r>
      <w:r>
        <w:rPr>
          <w:rFonts w:ascii="Arial" w:hAnsi="Arial" w:cs="Arial"/>
          <w:sz w:val="24"/>
          <w:szCs w:val="24"/>
        </w:rPr>
        <w:t xml:space="preserve">na </w:t>
      </w:r>
      <w:r w:rsidRPr="008B0B51">
        <w:rPr>
          <w:rFonts w:ascii="Arial" w:hAnsi="Arial" w:cs="Arial"/>
          <w:sz w:val="24"/>
          <w:szCs w:val="24"/>
        </w:rPr>
        <w:t>základě</w:t>
      </w:r>
      <w:r>
        <w:rPr>
          <w:rFonts w:ascii="Arial" w:hAnsi="Arial" w:cs="Arial"/>
          <w:sz w:val="24"/>
          <w:szCs w:val="24"/>
        </w:rPr>
        <w:t xml:space="preserve"> poskytovatelem </w:t>
      </w:r>
      <w:r w:rsidRPr="008B0B51">
        <w:rPr>
          <w:rFonts w:ascii="Arial" w:hAnsi="Arial" w:cs="Arial"/>
          <w:sz w:val="24"/>
          <w:szCs w:val="24"/>
        </w:rPr>
        <w:t>vystavené faktury</w:t>
      </w:r>
      <w:r>
        <w:rPr>
          <w:rFonts w:ascii="Arial" w:hAnsi="Arial" w:cs="Arial"/>
          <w:sz w:val="24"/>
          <w:szCs w:val="24"/>
        </w:rPr>
        <w:t>.</w:t>
      </w:r>
    </w:p>
    <w:p w:rsidR="00005E65" w:rsidRDefault="00005E65" w:rsidP="000E5E58">
      <w:pPr>
        <w:numPr>
          <w:ilvl w:val="0"/>
          <w:numId w:val="36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005E65" w:rsidRPr="00917B15" w:rsidRDefault="00005E65" w:rsidP="000E5E58">
      <w:pPr>
        <w:numPr>
          <w:ilvl w:val="0"/>
          <w:numId w:val="36"/>
        </w:numPr>
        <w:tabs>
          <w:tab w:val="num" w:pos="747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917B15">
        <w:rPr>
          <w:rFonts w:ascii="Arial" w:hAnsi="Arial" w:cs="Arial"/>
          <w:sz w:val="24"/>
          <w:szCs w:val="24"/>
        </w:rPr>
        <w:t>Příjemce je povinen uvádět logo poskytovatele na svých webových stránkách (jsou-li zřízeny)</w:t>
      </w:r>
      <w:r w:rsidR="00E56708">
        <w:rPr>
          <w:rFonts w:ascii="Arial" w:hAnsi="Arial" w:cs="Arial"/>
          <w:sz w:val="24"/>
          <w:szCs w:val="24"/>
        </w:rPr>
        <w:t xml:space="preserve"> od nabití účinnosti smlouvy do 31. 12. 2017</w:t>
      </w:r>
      <w:r w:rsidRPr="00917B15">
        <w:rPr>
          <w:rFonts w:ascii="Arial" w:hAnsi="Arial" w:cs="Arial"/>
          <w:sz w:val="24"/>
          <w:szCs w:val="24"/>
        </w:rPr>
        <w:t>, dále je příjemce povinen označit propagační materiály příjemce, vztahující se k účelu dotace, logem poskytovatele a umístit reklamní panel, nebo obdobné zařízení, s logem poskytovatele do místa, ve kterém je prováděna podpořená činnost</w:t>
      </w:r>
      <w:r w:rsidR="00E56708">
        <w:rPr>
          <w:rFonts w:ascii="Arial" w:hAnsi="Arial" w:cs="Arial"/>
          <w:sz w:val="24"/>
          <w:szCs w:val="24"/>
        </w:rPr>
        <w:t xml:space="preserve"> od nabití účinnosti smlouvy do 31. 12. 2017</w:t>
      </w:r>
      <w:r w:rsidRPr="00917B15">
        <w:rPr>
          <w:rFonts w:ascii="Arial" w:hAnsi="Arial" w:cs="Arial"/>
          <w:i/>
          <w:sz w:val="24"/>
          <w:szCs w:val="24"/>
        </w:rPr>
        <w:t xml:space="preserve">. </w:t>
      </w:r>
      <w:r w:rsidRPr="00917B15">
        <w:rPr>
          <w:rFonts w:ascii="Arial" w:hAnsi="Arial" w:cs="Arial"/>
          <w:sz w:val="24"/>
          <w:szCs w:val="24"/>
        </w:rPr>
        <w:t>Spolu s logem zde bude vždy uvedena informace, že poskytovatel činnost finančně podpořil.</w:t>
      </w:r>
    </w:p>
    <w:p w:rsidR="00005E65" w:rsidRPr="00F90512" w:rsidRDefault="00005E65" w:rsidP="00005E65">
      <w:pPr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F90512">
        <w:rPr>
          <w:rFonts w:ascii="Arial" w:hAnsi="Arial" w:cs="Arial"/>
          <w:sz w:val="24"/>
          <w:szCs w:val="24"/>
        </w:rPr>
        <w:t xml:space="preserve">Příjemce je povinen pořídit fotodokumentaci o propagaci poskytovatele při </w:t>
      </w:r>
      <w:r>
        <w:rPr>
          <w:rFonts w:ascii="Arial" w:hAnsi="Arial" w:cs="Arial"/>
          <w:sz w:val="24"/>
          <w:szCs w:val="24"/>
        </w:rPr>
        <w:t>činnosti</w:t>
      </w:r>
      <w:r w:rsidRPr="00F90512">
        <w:rPr>
          <w:rFonts w:ascii="Arial" w:hAnsi="Arial" w:cs="Arial"/>
          <w:sz w:val="24"/>
          <w:szCs w:val="24"/>
        </w:rPr>
        <w:t xml:space="preserve"> podporované dle této smlouvy. Povinně pořízená fotodokumentace (minimálně dvě fotografie dokladující propagaci poskytovatele na viditelném veřejně přístupném místě) musí být poskytovateli příjemcem předložena společně se závěrečnou zprávou.</w:t>
      </w:r>
    </w:p>
    <w:p w:rsidR="00005E65" w:rsidRDefault="00005E65" w:rsidP="000E5E58">
      <w:pPr>
        <w:numPr>
          <w:ilvl w:val="0"/>
          <w:numId w:val="36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Poskytovatel uděluje příjemci souhlas s bezúplatným užitím loga Olomouckého kraje způsobem a v rozsahu uvedeném v čl. II. odst. 10 této smlouvy.</w:t>
      </w:r>
    </w:p>
    <w:p w:rsidR="00005E65" w:rsidRPr="00E614BE" w:rsidRDefault="00005E65" w:rsidP="000E5E58">
      <w:pPr>
        <w:numPr>
          <w:ilvl w:val="0"/>
          <w:numId w:val="36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bude příjemce při provádění činnosti, na niž je poskytována dotace dle této smlouvy, zadavatelem veřejné zakázky dle příslušných ustanovení zákona o zadávání veřejných zakázek, je povinen při její realizaci postupovat dle tohoto zákona.</w:t>
      </w:r>
    </w:p>
    <w:p w:rsidR="00005E65" w:rsidRPr="005E267D" w:rsidRDefault="00005E65" w:rsidP="000E5E58">
      <w:pPr>
        <w:numPr>
          <w:ilvl w:val="0"/>
          <w:numId w:val="36"/>
        </w:numPr>
        <w:spacing w:after="120"/>
        <w:jc w:val="both"/>
        <w:rPr>
          <w:rFonts w:ascii="Arial" w:hAnsi="Arial" w:cs="Arial"/>
          <w:i/>
          <w:iCs/>
          <w:sz w:val="24"/>
          <w:szCs w:val="24"/>
        </w:rPr>
      </w:pPr>
      <w:r w:rsidRPr="0007343C">
        <w:rPr>
          <w:rFonts w:ascii="Arial" w:hAnsi="Arial" w:cs="Arial"/>
          <w:bCs/>
          <w:iCs/>
          <w:sz w:val="24"/>
          <w:szCs w:val="24"/>
        </w:rPr>
        <w:t xml:space="preserve">Příjemce prohlašuje, že ke dni podpisu </w:t>
      </w:r>
      <w:r w:rsidRPr="005E267D">
        <w:rPr>
          <w:rFonts w:ascii="Arial" w:hAnsi="Arial" w:cs="Arial"/>
          <w:bCs/>
          <w:iCs/>
          <w:sz w:val="24"/>
          <w:szCs w:val="24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hAnsi="Arial" w:cs="Arial"/>
          <w:bCs/>
          <w:iCs/>
          <w:sz w:val="24"/>
          <w:szCs w:val="24"/>
        </w:rPr>
        <w:t>Evropskou unií. Příjemce současně prohlašuje, že ke dni podpisu této smlouvy nemá neuhrazené závazky po lhůtě splatnosti ani vůči poskytovateli, jím zřízeným organizacím a jiným územním samosprávným celkům. Za neuhrazený závazek po lhůtě splatnosti vůči výše uvedeným subjektům  je považován</w:t>
      </w:r>
      <w:r w:rsidRPr="005E267D">
        <w:rPr>
          <w:rFonts w:ascii="Arial" w:hAnsi="Arial" w:cs="Arial"/>
          <w:bCs/>
          <w:iCs/>
          <w:sz w:val="24"/>
          <w:szCs w:val="24"/>
        </w:rPr>
        <w:t xml:space="preserve"> i závazek, na který má žadatel uzavřený splátkový kalendář nebo jiný odklad původní lhůty splatnosti. V případě nepravdivosti tohoto prohlášení se jedná o porušení rozpočtové </w:t>
      </w:r>
      <w:r w:rsidRPr="005E267D">
        <w:rPr>
          <w:rFonts w:ascii="Arial" w:hAnsi="Arial" w:cs="Arial"/>
          <w:bCs/>
          <w:iCs/>
          <w:sz w:val="24"/>
          <w:szCs w:val="24"/>
        </w:rPr>
        <w:lastRenderedPageBreak/>
        <w:t>kázně ve smyslu ust. § 22 zákona č. 250/2000 Sb., o rozpočtových pravidlech územních rozpočtů, ve znění pozdějších předpisů.</w:t>
      </w:r>
    </w:p>
    <w:p w:rsidR="00005E65" w:rsidRPr="005E267D" w:rsidRDefault="00005E65" w:rsidP="00005E65">
      <w:pPr>
        <w:spacing w:before="360" w:after="36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5E267D">
        <w:rPr>
          <w:rFonts w:ascii="Arial" w:hAnsi="Arial" w:cs="Arial"/>
          <w:b/>
          <w:bCs/>
          <w:sz w:val="24"/>
          <w:szCs w:val="24"/>
        </w:rPr>
        <w:t>III.</w:t>
      </w:r>
    </w:p>
    <w:p w:rsidR="00005E65" w:rsidRPr="005E267D" w:rsidRDefault="00005E65" w:rsidP="000E5E58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E267D">
        <w:rPr>
          <w:rFonts w:ascii="Arial" w:hAnsi="Arial" w:cs="Arial"/>
          <w:sz w:val="24"/>
          <w:szCs w:val="24"/>
        </w:rPr>
        <w:t>Smlouva se uzavírá v souladu s § 159 a násl. zákona č. 500/2004 Sb., správní řád, ve znění pozdějších právních předpisů, a se zákonem č. 250/2000 Sb., o rozpočtových pravidlech územních rozpočtů, ve znění pozdějších právních předpisů.</w:t>
      </w:r>
    </w:p>
    <w:p w:rsidR="00005E65" w:rsidRPr="00170EC7" w:rsidRDefault="00005E65" w:rsidP="000E5E58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5E267D">
        <w:rPr>
          <w:rFonts w:ascii="Arial" w:hAnsi="Arial" w:cs="Arial"/>
          <w:sz w:val="24"/>
          <w:szCs w:val="24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</w:t>
      </w:r>
      <w:r w:rsidRPr="00170EC7">
        <w:rPr>
          <w:rFonts w:ascii="Arial" w:hAnsi="Arial" w:cs="Arial"/>
          <w:sz w:val="24"/>
          <w:szCs w:val="24"/>
        </w:rPr>
        <w:t xml:space="preserve"> bylo zveřejněno v Úředním věstníku Evropské unie č. L 352/1 dne 24. prosince 2013.</w:t>
      </w:r>
    </w:p>
    <w:p w:rsidR="00005E65" w:rsidRPr="00170EC7" w:rsidRDefault="00005E65" w:rsidP="000E5E58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70EC7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005E65" w:rsidRPr="00170EC7" w:rsidRDefault="00005E65" w:rsidP="000E5E58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70EC7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hAnsi="Arial" w:cs="Arial"/>
          <w:iCs/>
          <w:sz w:val="24"/>
          <w:szCs w:val="24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170EC7">
        <w:rPr>
          <w:rFonts w:ascii="Arial" w:hAnsi="Arial" w:cs="Arial"/>
          <w:sz w:val="24"/>
          <w:szCs w:val="24"/>
        </w:rPr>
        <w:t>, včetně uvedení identifikace subjektů, s nimiž jeden podnik tvoří, a ke dni uzavření této smlouvy nedošlo ke změně těchto sdělených údajů.</w:t>
      </w:r>
    </w:p>
    <w:p w:rsidR="00005E65" w:rsidRPr="005C06EA" w:rsidRDefault="00005E65" w:rsidP="000E5E58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170EC7">
        <w:rPr>
          <w:rFonts w:ascii="Arial" w:hAnsi="Arial" w:cs="Arial"/>
          <w:iCs/>
          <w:sz w:val="24"/>
          <w:szCs w:val="24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hAnsi="Arial" w:cs="Arial"/>
          <w:sz w:val="24"/>
          <w:szCs w:val="24"/>
        </w:rPr>
        <w:t xml:space="preserve">dotace </w:t>
      </w:r>
      <w:r w:rsidRPr="00170EC7">
        <w:rPr>
          <w:rFonts w:ascii="Arial" w:hAnsi="Arial" w:cs="Arial"/>
          <w:iCs/>
          <w:sz w:val="24"/>
          <w:szCs w:val="24"/>
        </w:rPr>
        <w:t xml:space="preserve">povinen neprodleně po rozdělení </w:t>
      </w:r>
      <w:r w:rsidRPr="003D1870">
        <w:rPr>
          <w:rFonts w:ascii="Arial" w:hAnsi="Arial" w:cs="Arial"/>
          <w:iCs/>
          <w:sz w:val="24"/>
          <w:szCs w:val="24"/>
        </w:rPr>
        <w:t>kontaktovat poskytovatele za účelem sdělení informace, jak podporu de minimis poskytnutou dle této smlouvy rozdělit v Centrálním r</w:t>
      </w:r>
      <w:r>
        <w:rPr>
          <w:rFonts w:ascii="Arial" w:hAnsi="Arial" w:cs="Arial"/>
          <w:iCs/>
          <w:sz w:val="24"/>
          <w:szCs w:val="24"/>
        </w:rPr>
        <w:t>egistru podpor malého rozsahu.</w:t>
      </w:r>
    </w:p>
    <w:p w:rsidR="00005E65" w:rsidRDefault="00005E65" w:rsidP="000E5E58">
      <w:pPr>
        <w:numPr>
          <w:ilvl w:val="0"/>
          <w:numId w:val="37"/>
        </w:num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:rsidR="00005E65" w:rsidRDefault="00005E65" w:rsidP="000E5E58">
      <w:pPr>
        <w:numPr>
          <w:ilvl w:val="0"/>
          <w:numId w:val="37"/>
        </w:numPr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Tato smlouva nabývá platnosti a účinnosti dnem jejího uzavření.</w:t>
      </w:r>
    </w:p>
    <w:p w:rsidR="00005E65" w:rsidRPr="003D1870" w:rsidRDefault="00005E65" w:rsidP="000E5E58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3D1870">
        <w:rPr>
          <w:rFonts w:ascii="Arial" w:hAnsi="Arial" w:cs="Arial"/>
          <w:sz w:val="24"/>
          <w:szCs w:val="24"/>
        </w:rPr>
        <w:t>Tuto smlouvu lze měnit pouze písemnými vzestupně číslovanými dodatky.</w:t>
      </w:r>
    </w:p>
    <w:p w:rsidR="00005E65" w:rsidRDefault="00005E65" w:rsidP="000E5E58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3D1870">
        <w:rPr>
          <w:rFonts w:ascii="Arial" w:hAnsi="Arial" w:cs="Arial"/>
          <w:sz w:val="24"/>
          <w:szCs w:val="24"/>
        </w:rPr>
        <w:t>Smluvní strany prohlašují, že souhlasí</w:t>
      </w:r>
      <w:r>
        <w:rPr>
          <w:rFonts w:ascii="Arial" w:hAnsi="Arial" w:cs="Arial"/>
          <w:sz w:val="24"/>
          <w:szCs w:val="24"/>
        </w:rPr>
        <w:t xml:space="preserve"> s případným zveřejněním textu této smlouvy v souladu se zákonem č. 106/1999 Sb., o svobodném přístupu k informacím, ve znění pozdějších předpisů.</w:t>
      </w:r>
    </w:p>
    <w:p w:rsidR="00005E65" w:rsidRDefault="00005E65" w:rsidP="000E5E58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Poskytnutí dotace a uzavření této smlouvy bylo schváleno usnesením Zastupitelstva Olomouckého kraje č. UZ/3/ … /2017 ze dne 27. </w:t>
      </w:r>
      <w:r w:rsidR="007F227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 2017.</w:t>
      </w:r>
    </w:p>
    <w:p w:rsidR="00005E65" w:rsidRDefault="00005E65" w:rsidP="000E5E58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smlouva je sepsána ve ......... vyhotoveních, z nichž každá smluvní strana obdrží ......... vyhotovení.</w:t>
      </w:r>
    </w:p>
    <w:p w:rsidR="00005E65" w:rsidRDefault="00005E65" w:rsidP="00005E65">
      <w:pPr>
        <w:spacing w:before="600" w:after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Olomouci dne 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005E65" w:rsidTr="00AC297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E65" w:rsidRDefault="00005E65" w:rsidP="00AC297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Za poskytovatele:</w:t>
            </w:r>
          </w:p>
          <w:p w:rsidR="00005E65" w:rsidRDefault="00005E65" w:rsidP="00AC297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  <w:p w:rsidR="00005E65" w:rsidRDefault="00005E65" w:rsidP="00AC297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  <w:p w:rsidR="00005E65" w:rsidRDefault="00005E65" w:rsidP="00AC297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05E65" w:rsidRDefault="00005E65" w:rsidP="00AC297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 příjemce:</w:t>
            </w:r>
          </w:p>
        </w:tc>
      </w:tr>
      <w:tr w:rsidR="00005E65" w:rsidTr="00AC297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5AA9" w:rsidRDefault="00975AA9" w:rsidP="00975A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Bc. Pavel Šoltys, DiS</w:t>
            </w:r>
          </w:p>
          <w:p w:rsidR="00005E65" w:rsidRDefault="00975AA9" w:rsidP="00975AA9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náměstek hejtmana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5AA9" w:rsidRDefault="00975AA9" w:rsidP="00975A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Martin Kučera, MBA, MPA</w:t>
            </w:r>
          </w:p>
          <w:p w:rsidR="00005E65" w:rsidRDefault="00975AA9" w:rsidP="00975A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ředitel Regionální agentury pro rozvoj střední Moravy</w:t>
            </w:r>
          </w:p>
        </w:tc>
      </w:tr>
    </w:tbl>
    <w:p w:rsidR="00005E65" w:rsidRDefault="00005E65" w:rsidP="00005E65">
      <w:pPr>
        <w:rPr>
          <w:rFonts w:ascii="Arial" w:hAnsi="Arial" w:cs="Arial"/>
          <w:bCs/>
        </w:rPr>
      </w:pPr>
    </w:p>
    <w:p w:rsidR="00005E65" w:rsidRDefault="00005E65" w:rsidP="00005E65">
      <w:pPr>
        <w:rPr>
          <w:rFonts w:ascii="Arial" w:hAnsi="Arial" w:cs="Arial"/>
          <w:bCs/>
        </w:rPr>
      </w:pPr>
    </w:p>
    <w:p w:rsidR="0080261E" w:rsidRDefault="0080261E" w:rsidP="00AC6AF2">
      <w:pPr>
        <w:pStyle w:val="Zkladntextodsazen"/>
        <w:spacing w:after="120"/>
        <w:ind w:left="0"/>
        <w:jc w:val="both"/>
        <w:rPr>
          <w:rFonts w:ascii="Arial" w:hAnsi="Arial" w:cs="Arial"/>
        </w:rPr>
      </w:pPr>
    </w:p>
    <w:sectPr w:rsidR="0080261E" w:rsidSect="00EC01BB">
      <w:headerReference w:type="default" r:id="rId16"/>
      <w:footerReference w:type="default" r:id="rId17"/>
      <w:pgSz w:w="11907" w:h="16840" w:code="9"/>
      <w:pgMar w:top="1134" w:right="1134" w:bottom="1134" w:left="1134" w:header="709" w:footer="37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CBB" w:rsidRDefault="005B0CBB">
      <w:r>
        <w:separator/>
      </w:r>
    </w:p>
  </w:endnote>
  <w:endnote w:type="continuationSeparator" w:id="0">
    <w:p w:rsidR="005B0CBB" w:rsidRDefault="005B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70" w:rsidRPr="00E86B01" w:rsidRDefault="001560C9" w:rsidP="00354CBB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AC2970">
      <w:rPr>
        <w:rFonts w:ascii="Arial" w:hAnsi="Arial" w:cs="Arial"/>
        <w:i/>
        <w:iCs/>
      </w:rPr>
      <w:t xml:space="preserve"> Olomouckého kraje</w:t>
    </w:r>
    <w:r w:rsidR="00AC2970" w:rsidRPr="00E86B01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27</w:t>
    </w:r>
    <w:r w:rsidR="00AC2970">
      <w:rPr>
        <w:rFonts w:ascii="Arial" w:hAnsi="Arial" w:cs="Arial"/>
        <w:i/>
        <w:iCs/>
      </w:rPr>
      <w:t>. 2. </w:t>
    </w:r>
    <w:r w:rsidR="00AC2970" w:rsidRPr="00E86B01">
      <w:rPr>
        <w:rFonts w:ascii="Arial" w:hAnsi="Arial" w:cs="Arial"/>
        <w:i/>
        <w:iCs/>
      </w:rPr>
      <w:t>20</w:t>
    </w:r>
    <w:r w:rsidR="00AC2970">
      <w:rPr>
        <w:rFonts w:ascii="Arial" w:hAnsi="Arial" w:cs="Arial"/>
        <w:i/>
        <w:iCs/>
      </w:rPr>
      <w:t>17</w:t>
    </w:r>
    <w:r w:rsidR="00AC2970" w:rsidRPr="00E86B01">
      <w:rPr>
        <w:rFonts w:ascii="Arial" w:hAnsi="Arial" w:cs="Arial"/>
        <w:i/>
        <w:iCs/>
      </w:rPr>
      <w:tab/>
    </w:r>
    <w:r w:rsidR="00AC2970" w:rsidRPr="00E86B01">
      <w:rPr>
        <w:rFonts w:ascii="Arial" w:hAnsi="Arial" w:cs="Arial"/>
        <w:i/>
        <w:iCs/>
      </w:rPr>
      <w:tab/>
      <w:t xml:space="preserve">Strana </w:t>
    </w:r>
    <w:r w:rsidR="00AC2970" w:rsidRPr="00E86B01">
      <w:rPr>
        <w:rStyle w:val="slostrnky"/>
        <w:rFonts w:ascii="Arial" w:hAnsi="Arial" w:cs="Arial"/>
        <w:i/>
        <w:iCs/>
      </w:rPr>
      <w:fldChar w:fldCharType="begin"/>
    </w:r>
    <w:r w:rsidR="00AC2970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AC2970" w:rsidRPr="00E86B01">
      <w:rPr>
        <w:rStyle w:val="slostrnky"/>
        <w:rFonts w:ascii="Arial" w:hAnsi="Arial" w:cs="Arial"/>
        <w:i/>
        <w:iCs/>
      </w:rPr>
      <w:fldChar w:fldCharType="separate"/>
    </w:r>
    <w:r w:rsidR="006F218D">
      <w:rPr>
        <w:rStyle w:val="slostrnky"/>
        <w:rFonts w:ascii="Arial" w:hAnsi="Arial" w:cs="Arial"/>
        <w:i/>
        <w:iCs/>
        <w:noProof/>
      </w:rPr>
      <w:t>3</w:t>
    </w:r>
    <w:r w:rsidR="00AC2970" w:rsidRPr="00E86B01">
      <w:rPr>
        <w:rStyle w:val="slostrnky"/>
        <w:rFonts w:ascii="Arial" w:hAnsi="Arial" w:cs="Arial"/>
        <w:i/>
        <w:iCs/>
      </w:rPr>
      <w:fldChar w:fldCharType="end"/>
    </w:r>
    <w:r w:rsidR="00AC2970" w:rsidRPr="00E86B01">
      <w:rPr>
        <w:rStyle w:val="slostrnky"/>
        <w:rFonts w:ascii="Arial" w:hAnsi="Arial" w:cs="Arial"/>
        <w:i/>
        <w:iCs/>
      </w:rPr>
      <w:t xml:space="preserve"> (celkem </w:t>
    </w:r>
    <w:r w:rsidR="00AC2970" w:rsidRPr="00E86B01">
      <w:rPr>
        <w:rStyle w:val="slostrnky"/>
        <w:rFonts w:ascii="Arial" w:hAnsi="Arial" w:cs="Arial"/>
        <w:i/>
        <w:iCs/>
      </w:rPr>
      <w:fldChar w:fldCharType="begin"/>
    </w:r>
    <w:r w:rsidR="00AC2970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AC2970" w:rsidRPr="00E86B01">
      <w:rPr>
        <w:rStyle w:val="slostrnky"/>
        <w:rFonts w:ascii="Arial" w:hAnsi="Arial" w:cs="Arial"/>
        <w:i/>
        <w:iCs/>
      </w:rPr>
      <w:fldChar w:fldCharType="separate"/>
    </w:r>
    <w:r w:rsidR="006F218D">
      <w:rPr>
        <w:rStyle w:val="slostrnky"/>
        <w:rFonts w:ascii="Arial" w:hAnsi="Arial" w:cs="Arial"/>
        <w:i/>
        <w:iCs/>
        <w:noProof/>
      </w:rPr>
      <w:t>18</w:t>
    </w:r>
    <w:r w:rsidR="00AC2970" w:rsidRPr="00E86B01">
      <w:rPr>
        <w:rStyle w:val="slostrnky"/>
        <w:rFonts w:ascii="Arial" w:hAnsi="Arial" w:cs="Arial"/>
        <w:i/>
        <w:iCs/>
      </w:rPr>
      <w:fldChar w:fldCharType="end"/>
    </w:r>
    <w:r w:rsidR="00AC2970" w:rsidRPr="00E86B01">
      <w:rPr>
        <w:rStyle w:val="slostrnky"/>
        <w:rFonts w:ascii="Arial" w:hAnsi="Arial" w:cs="Arial"/>
        <w:i/>
        <w:iCs/>
      </w:rPr>
      <w:t>)</w:t>
    </w:r>
  </w:p>
  <w:p w:rsidR="00AC2970" w:rsidRPr="00354CBB" w:rsidRDefault="00285289" w:rsidP="00354CBB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3</w:t>
    </w:r>
    <w:r w:rsidR="001560C9">
      <w:rPr>
        <w:rFonts w:ascii="Arial" w:hAnsi="Arial" w:cs="Arial"/>
        <w:i/>
        <w:iCs/>
      </w:rPr>
      <w:t>6</w:t>
    </w:r>
    <w:r w:rsidR="00AC2970">
      <w:rPr>
        <w:rFonts w:ascii="Arial" w:hAnsi="Arial" w:cs="Arial"/>
        <w:i/>
        <w:iCs/>
      </w:rPr>
      <w:t>.</w:t>
    </w:r>
    <w:r w:rsidR="00AC2970" w:rsidRPr="00E86B01">
      <w:rPr>
        <w:rFonts w:ascii="Arial" w:hAnsi="Arial" w:cs="Arial"/>
        <w:i/>
        <w:iCs/>
      </w:rPr>
      <w:t xml:space="preserve"> </w:t>
    </w:r>
    <w:r w:rsidR="00AC2970">
      <w:rPr>
        <w:rFonts w:ascii="Arial" w:hAnsi="Arial" w:cs="Arial"/>
        <w:i/>
        <w:iCs/>
      </w:rPr>
      <w:t xml:space="preserve">– </w:t>
    </w:r>
    <w:r w:rsidR="00AC2970" w:rsidRPr="007F1E20">
      <w:rPr>
        <w:rFonts w:ascii="Arial" w:hAnsi="Arial" w:cs="Arial"/>
        <w:i/>
        <w:iCs/>
      </w:rPr>
      <w:t>Žádost</w:t>
    </w:r>
    <w:r w:rsidR="00AC2970">
      <w:rPr>
        <w:rFonts w:ascii="Arial" w:hAnsi="Arial" w:cs="Arial"/>
        <w:i/>
        <w:iCs/>
      </w:rPr>
      <w:t>i</w:t>
    </w:r>
    <w:r w:rsidR="00AC2970" w:rsidRPr="007F1E20">
      <w:rPr>
        <w:rFonts w:ascii="Arial" w:hAnsi="Arial" w:cs="Arial"/>
        <w:i/>
        <w:iCs/>
      </w:rPr>
      <w:t xml:space="preserve"> o poskytnutí individuální dotace v oblasti </w:t>
    </w:r>
    <w:r w:rsidR="00AC2970">
      <w:rPr>
        <w:rFonts w:ascii="Arial" w:hAnsi="Arial" w:cs="Arial"/>
        <w:i/>
        <w:iCs/>
      </w:rPr>
      <w:t>strategického</w:t>
    </w:r>
    <w:r w:rsidR="00AC2970" w:rsidRPr="007F1E20">
      <w:rPr>
        <w:rFonts w:ascii="Arial" w:hAnsi="Arial" w:cs="Arial"/>
        <w:i/>
        <w:iCs/>
      </w:rPr>
      <w:t xml:space="preserve"> rozvoje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70" w:rsidRPr="00E86B01" w:rsidRDefault="001560C9" w:rsidP="005256FC">
    <w:pPr>
      <w:pStyle w:val="Zpat"/>
      <w:pBdr>
        <w:top w:val="single" w:sz="4" w:space="1" w:color="auto"/>
      </w:pBdr>
      <w:tabs>
        <w:tab w:val="clear" w:pos="4536"/>
        <w:tab w:val="clear" w:pos="9072"/>
        <w:tab w:val="center" w:pos="7088"/>
        <w:tab w:val="right" w:pos="14601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Zastupitelstvo </w:t>
    </w:r>
    <w:r w:rsidR="00AC2970">
      <w:rPr>
        <w:rFonts w:ascii="Arial" w:hAnsi="Arial" w:cs="Arial"/>
        <w:i/>
        <w:iCs/>
      </w:rPr>
      <w:t>Olomouckého kraje</w:t>
    </w:r>
    <w:r w:rsidR="00AC2970" w:rsidRPr="00E86B01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27</w:t>
    </w:r>
    <w:r w:rsidR="00AC2970">
      <w:rPr>
        <w:rFonts w:ascii="Arial" w:hAnsi="Arial" w:cs="Arial"/>
        <w:i/>
        <w:iCs/>
      </w:rPr>
      <w:t>. 2. </w:t>
    </w:r>
    <w:r w:rsidR="00AC2970" w:rsidRPr="00E86B01">
      <w:rPr>
        <w:rFonts w:ascii="Arial" w:hAnsi="Arial" w:cs="Arial"/>
        <w:i/>
        <w:iCs/>
      </w:rPr>
      <w:t>20</w:t>
    </w:r>
    <w:r w:rsidR="00AC2970">
      <w:rPr>
        <w:rFonts w:ascii="Arial" w:hAnsi="Arial" w:cs="Arial"/>
        <w:i/>
        <w:iCs/>
      </w:rPr>
      <w:t>17</w:t>
    </w:r>
    <w:r w:rsidR="00AC2970" w:rsidRPr="00E86B01">
      <w:rPr>
        <w:rFonts w:ascii="Arial" w:hAnsi="Arial" w:cs="Arial"/>
        <w:i/>
        <w:iCs/>
      </w:rPr>
      <w:tab/>
    </w:r>
    <w:r w:rsidR="00AC2970" w:rsidRPr="00E86B01">
      <w:rPr>
        <w:rFonts w:ascii="Arial" w:hAnsi="Arial" w:cs="Arial"/>
        <w:i/>
        <w:iCs/>
      </w:rPr>
      <w:tab/>
      <w:t xml:space="preserve">Strana </w:t>
    </w:r>
    <w:r w:rsidR="00AC2970" w:rsidRPr="00E86B01">
      <w:rPr>
        <w:rStyle w:val="slostrnky"/>
        <w:rFonts w:ascii="Arial" w:hAnsi="Arial" w:cs="Arial"/>
        <w:i/>
        <w:iCs/>
      </w:rPr>
      <w:fldChar w:fldCharType="begin"/>
    </w:r>
    <w:r w:rsidR="00AC2970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AC2970" w:rsidRPr="00E86B01">
      <w:rPr>
        <w:rStyle w:val="slostrnky"/>
        <w:rFonts w:ascii="Arial" w:hAnsi="Arial" w:cs="Arial"/>
        <w:i/>
        <w:iCs/>
      </w:rPr>
      <w:fldChar w:fldCharType="separate"/>
    </w:r>
    <w:r w:rsidR="006F218D">
      <w:rPr>
        <w:rStyle w:val="slostrnky"/>
        <w:rFonts w:ascii="Arial" w:hAnsi="Arial" w:cs="Arial"/>
        <w:i/>
        <w:iCs/>
        <w:noProof/>
      </w:rPr>
      <w:t>5</w:t>
    </w:r>
    <w:r w:rsidR="00AC2970" w:rsidRPr="00E86B01">
      <w:rPr>
        <w:rStyle w:val="slostrnky"/>
        <w:rFonts w:ascii="Arial" w:hAnsi="Arial" w:cs="Arial"/>
        <w:i/>
        <w:iCs/>
      </w:rPr>
      <w:fldChar w:fldCharType="end"/>
    </w:r>
    <w:r w:rsidR="00AC2970" w:rsidRPr="00E86B01">
      <w:rPr>
        <w:rStyle w:val="slostrnky"/>
        <w:rFonts w:ascii="Arial" w:hAnsi="Arial" w:cs="Arial"/>
        <w:i/>
        <w:iCs/>
      </w:rPr>
      <w:t xml:space="preserve"> (celkem </w:t>
    </w:r>
    <w:r w:rsidR="00AC2970" w:rsidRPr="00E86B01">
      <w:rPr>
        <w:rStyle w:val="slostrnky"/>
        <w:rFonts w:ascii="Arial" w:hAnsi="Arial" w:cs="Arial"/>
        <w:i/>
        <w:iCs/>
      </w:rPr>
      <w:fldChar w:fldCharType="begin"/>
    </w:r>
    <w:r w:rsidR="00AC2970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AC2970" w:rsidRPr="00E86B01">
      <w:rPr>
        <w:rStyle w:val="slostrnky"/>
        <w:rFonts w:ascii="Arial" w:hAnsi="Arial" w:cs="Arial"/>
        <w:i/>
        <w:iCs/>
      </w:rPr>
      <w:fldChar w:fldCharType="separate"/>
    </w:r>
    <w:r w:rsidR="006F218D">
      <w:rPr>
        <w:rStyle w:val="slostrnky"/>
        <w:rFonts w:ascii="Arial" w:hAnsi="Arial" w:cs="Arial"/>
        <w:i/>
        <w:iCs/>
        <w:noProof/>
      </w:rPr>
      <w:t>5</w:t>
    </w:r>
    <w:r w:rsidR="00AC2970" w:rsidRPr="00E86B01">
      <w:rPr>
        <w:rStyle w:val="slostrnky"/>
        <w:rFonts w:ascii="Arial" w:hAnsi="Arial" w:cs="Arial"/>
        <w:i/>
        <w:iCs/>
      </w:rPr>
      <w:fldChar w:fldCharType="end"/>
    </w:r>
    <w:r w:rsidR="00AC2970" w:rsidRPr="00E86B01">
      <w:rPr>
        <w:rStyle w:val="slostrnky"/>
        <w:rFonts w:ascii="Arial" w:hAnsi="Arial" w:cs="Arial"/>
        <w:i/>
        <w:iCs/>
      </w:rPr>
      <w:t>)</w:t>
    </w:r>
  </w:p>
  <w:p w:rsidR="00AC2970" w:rsidRDefault="00285289" w:rsidP="00354CBB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3</w:t>
    </w:r>
    <w:r w:rsidR="001560C9">
      <w:rPr>
        <w:rFonts w:ascii="Arial" w:hAnsi="Arial" w:cs="Arial"/>
        <w:i/>
        <w:iCs/>
      </w:rPr>
      <w:t>6</w:t>
    </w:r>
    <w:r w:rsidR="00AC2970">
      <w:rPr>
        <w:rFonts w:ascii="Arial" w:hAnsi="Arial" w:cs="Arial"/>
        <w:i/>
        <w:iCs/>
      </w:rPr>
      <w:t>.</w:t>
    </w:r>
    <w:r w:rsidR="00AC2970" w:rsidRPr="00E86B01">
      <w:rPr>
        <w:rFonts w:ascii="Arial" w:hAnsi="Arial" w:cs="Arial"/>
        <w:i/>
        <w:iCs/>
      </w:rPr>
      <w:t xml:space="preserve"> </w:t>
    </w:r>
    <w:r w:rsidR="00AC2970">
      <w:rPr>
        <w:rFonts w:ascii="Arial" w:hAnsi="Arial" w:cs="Arial"/>
        <w:i/>
        <w:iCs/>
      </w:rPr>
      <w:t xml:space="preserve">– </w:t>
    </w:r>
    <w:r w:rsidR="00AC2970" w:rsidRPr="007F1E20">
      <w:rPr>
        <w:rFonts w:ascii="Arial" w:hAnsi="Arial" w:cs="Arial"/>
        <w:i/>
        <w:iCs/>
      </w:rPr>
      <w:t>Žádost</w:t>
    </w:r>
    <w:r w:rsidR="00AC2970">
      <w:rPr>
        <w:rFonts w:ascii="Arial" w:hAnsi="Arial" w:cs="Arial"/>
        <w:i/>
        <w:iCs/>
      </w:rPr>
      <w:t>i</w:t>
    </w:r>
    <w:r w:rsidR="00AC2970" w:rsidRPr="007F1E20">
      <w:rPr>
        <w:rFonts w:ascii="Arial" w:hAnsi="Arial" w:cs="Arial"/>
        <w:i/>
        <w:iCs/>
      </w:rPr>
      <w:t xml:space="preserve"> o poskytnutí individuální dotace v oblasti </w:t>
    </w:r>
    <w:r w:rsidR="00AC2970">
      <w:rPr>
        <w:rFonts w:ascii="Arial" w:hAnsi="Arial" w:cs="Arial"/>
        <w:i/>
        <w:iCs/>
      </w:rPr>
      <w:t>strategického</w:t>
    </w:r>
    <w:r w:rsidR="00AC2970" w:rsidRPr="007F1E20">
      <w:rPr>
        <w:rFonts w:ascii="Arial" w:hAnsi="Arial" w:cs="Arial"/>
        <w:i/>
        <w:iCs/>
      </w:rPr>
      <w:t xml:space="preserve"> rozvoje</w:t>
    </w:r>
  </w:p>
  <w:p w:rsidR="00AC2970" w:rsidRPr="00354CBB" w:rsidRDefault="00AC2970" w:rsidP="00354CBB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 w:rsidRPr="002C287B">
      <w:rPr>
        <w:rFonts w:ascii="Arial" w:hAnsi="Arial" w:cs="Arial"/>
        <w:i/>
        <w:iCs/>
      </w:rPr>
      <w:t>Příloha č. 1 Informace o žádostech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70" w:rsidRPr="00E86B01" w:rsidRDefault="001560C9" w:rsidP="00354CBB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AC2970">
      <w:rPr>
        <w:rFonts w:ascii="Arial" w:hAnsi="Arial" w:cs="Arial"/>
        <w:i/>
        <w:iCs/>
      </w:rPr>
      <w:t xml:space="preserve"> Olomouckého kraje</w:t>
    </w:r>
    <w:r w:rsidR="00AC2970" w:rsidRPr="00E86B01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27</w:t>
    </w:r>
    <w:r w:rsidR="00AC2970">
      <w:rPr>
        <w:rFonts w:ascii="Arial" w:hAnsi="Arial" w:cs="Arial"/>
        <w:i/>
        <w:iCs/>
      </w:rPr>
      <w:t>. 2. </w:t>
    </w:r>
    <w:r w:rsidR="00AC2970" w:rsidRPr="00E86B01">
      <w:rPr>
        <w:rFonts w:ascii="Arial" w:hAnsi="Arial" w:cs="Arial"/>
        <w:i/>
        <w:iCs/>
      </w:rPr>
      <w:t>20</w:t>
    </w:r>
    <w:r w:rsidR="00AC2970">
      <w:rPr>
        <w:rFonts w:ascii="Arial" w:hAnsi="Arial" w:cs="Arial"/>
        <w:i/>
        <w:iCs/>
      </w:rPr>
      <w:t>17</w:t>
    </w:r>
    <w:r w:rsidR="00AC2970" w:rsidRPr="00E86B01">
      <w:rPr>
        <w:rFonts w:ascii="Arial" w:hAnsi="Arial" w:cs="Arial"/>
        <w:i/>
        <w:iCs/>
      </w:rPr>
      <w:tab/>
    </w:r>
    <w:r w:rsidR="00AC2970" w:rsidRPr="00E86B01">
      <w:rPr>
        <w:rFonts w:ascii="Arial" w:hAnsi="Arial" w:cs="Arial"/>
        <w:i/>
        <w:iCs/>
      </w:rPr>
      <w:tab/>
      <w:t xml:space="preserve">Strana </w:t>
    </w:r>
    <w:r w:rsidR="00AC2970" w:rsidRPr="00E86B01">
      <w:rPr>
        <w:rStyle w:val="slostrnky"/>
        <w:rFonts w:ascii="Arial" w:hAnsi="Arial" w:cs="Arial"/>
        <w:i/>
        <w:iCs/>
      </w:rPr>
      <w:fldChar w:fldCharType="begin"/>
    </w:r>
    <w:r w:rsidR="00AC2970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AC2970" w:rsidRPr="00E86B01">
      <w:rPr>
        <w:rStyle w:val="slostrnky"/>
        <w:rFonts w:ascii="Arial" w:hAnsi="Arial" w:cs="Arial"/>
        <w:i/>
        <w:iCs/>
      </w:rPr>
      <w:fldChar w:fldCharType="separate"/>
    </w:r>
    <w:r w:rsidR="006F218D">
      <w:rPr>
        <w:rStyle w:val="slostrnky"/>
        <w:rFonts w:ascii="Arial" w:hAnsi="Arial" w:cs="Arial"/>
        <w:i/>
        <w:iCs/>
        <w:noProof/>
      </w:rPr>
      <w:t>11</w:t>
    </w:r>
    <w:r w:rsidR="00AC2970" w:rsidRPr="00E86B01">
      <w:rPr>
        <w:rStyle w:val="slostrnky"/>
        <w:rFonts w:ascii="Arial" w:hAnsi="Arial" w:cs="Arial"/>
        <w:i/>
        <w:iCs/>
      </w:rPr>
      <w:fldChar w:fldCharType="end"/>
    </w:r>
    <w:r w:rsidR="00AC2970" w:rsidRPr="00E86B01">
      <w:rPr>
        <w:rStyle w:val="slostrnky"/>
        <w:rFonts w:ascii="Arial" w:hAnsi="Arial" w:cs="Arial"/>
        <w:i/>
        <w:iCs/>
      </w:rPr>
      <w:t xml:space="preserve"> (celkem </w:t>
    </w:r>
    <w:r w:rsidR="00AC2970" w:rsidRPr="00E86B01">
      <w:rPr>
        <w:rStyle w:val="slostrnky"/>
        <w:rFonts w:ascii="Arial" w:hAnsi="Arial" w:cs="Arial"/>
        <w:i/>
        <w:iCs/>
      </w:rPr>
      <w:fldChar w:fldCharType="begin"/>
    </w:r>
    <w:r w:rsidR="00AC2970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AC2970" w:rsidRPr="00E86B01">
      <w:rPr>
        <w:rStyle w:val="slostrnky"/>
        <w:rFonts w:ascii="Arial" w:hAnsi="Arial" w:cs="Arial"/>
        <w:i/>
        <w:iCs/>
      </w:rPr>
      <w:fldChar w:fldCharType="separate"/>
    </w:r>
    <w:r w:rsidR="006F218D">
      <w:rPr>
        <w:rStyle w:val="slostrnky"/>
        <w:rFonts w:ascii="Arial" w:hAnsi="Arial" w:cs="Arial"/>
        <w:i/>
        <w:iCs/>
        <w:noProof/>
      </w:rPr>
      <w:t>11</w:t>
    </w:r>
    <w:r w:rsidR="00AC2970" w:rsidRPr="00E86B01">
      <w:rPr>
        <w:rStyle w:val="slostrnky"/>
        <w:rFonts w:ascii="Arial" w:hAnsi="Arial" w:cs="Arial"/>
        <w:i/>
        <w:iCs/>
      </w:rPr>
      <w:fldChar w:fldCharType="end"/>
    </w:r>
    <w:r w:rsidR="00AC2970" w:rsidRPr="00E86B01">
      <w:rPr>
        <w:rStyle w:val="slostrnky"/>
        <w:rFonts w:ascii="Arial" w:hAnsi="Arial" w:cs="Arial"/>
        <w:i/>
        <w:iCs/>
      </w:rPr>
      <w:t>)</w:t>
    </w:r>
  </w:p>
  <w:p w:rsidR="00AC2970" w:rsidRDefault="00285289" w:rsidP="00354CBB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3</w:t>
    </w:r>
    <w:r w:rsidR="001560C9">
      <w:rPr>
        <w:rFonts w:ascii="Arial" w:hAnsi="Arial" w:cs="Arial"/>
        <w:i/>
        <w:iCs/>
      </w:rPr>
      <w:t>6</w:t>
    </w:r>
    <w:r w:rsidR="00AC2970">
      <w:rPr>
        <w:rFonts w:ascii="Arial" w:hAnsi="Arial" w:cs="Arial"/>
        <w:i/>
        <w:iCs/>
      </w:rPr>
      <w:t>.</w:t>
    </w:r>
    <w:r w:rsidR="00AC2970" w:rsidRPr="00E86B01">
      <w:rPr>
        <w:rFonts w:ascii="Arial" w:hAnsi="Arial" w:cs="Arial"/>
        <w:i/>
        <w:iCs/>
      </w:rPr>
      <w:t xml:space="preserve"> </w:t>
    </w:r>
    <w:r w:rsidR="00AC2970">
      <w:rPr>
        <w:rFonts w:ascii="Arial" w:hAnsi="Arial" w:cs="Arial"/>
        <w:i/>
        <w:iCs/>
      </w:rPr>
      <w:t xml:space="preserve">– </w:t>
    </w:r>
    <w:r w:rsidR="00AC2970" w:rsidRPr="007F1E20">
      <w:rPr>
        <w:rFonts w:ascii="Arial" w:hAnsi="Arial" w:cs="Arial"/>
        <w:i/>
        <w:iCs/>
      </w:rPr>
      <w:t>Žádost</w:t>
    </w:r>
    <w:r w:rsidR="00AC2970">
      <w:rPr>
        <w:rFonts w:ascii="Arial" w:hAnsi="Arial" w:cs="Arial"/>
        <w:i/>
        <w:iCs/>
      </w:rPr>
      <w:t>i</w:t>
    </w:r>
    <w:r w:rsidR="00AC2970" w:rsidRPr="007F1E20">
      <w:rPr>
        <w:rFonts w:ascii="Arial" w:hAnsi="Arial" w:cs="Arial"/>
        <w:i/>
        <w:iCs/>
      </w:rPr>
      <w:t xml:space="preserve"> o poskytnutí individuální dotace v oblasti </w:t>
    </w:r>
    <w:r w:rsidR="00AC2970">
      <w:rPr>
        <w:rFonts w:ascii="Arial" w:hAnsi="Arial" w:cs="Arial"/>
        <w:i/>
        <w:iCs/>
      </w:rPr>
      <w:t>strategického</w:t>
    </w:r>
    <w:r w:rsidR="00AC2970" w:rsidRPr="007F1E20">
      <w:rPr>
        <w:rFonts w:ascii="Arial" w:hAnsi="Arial" w:cs="Arial"/>
        <w:i/>
        <w:iCs/>
      </w:rPr>
      <w:t xml:space="preserve"> rozvoje</w:t>
    </w:r>
  </w:p>
  <w:p w:rsidR="00AC2970" w:rsidRPr="00354CBB" w:rsidRDefault="00AC2970" w:rsidP="00354CBB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 w:rsidRPr="0080261E">
      <w:rPr>
        <w:rFonts w:ascii="Arial" w:hAnsi="Arial" w:cs="Arial"/>
        <w:i/>
        <w:iCs/>
      </w:rPr>
      <w:t>Příloha č. 2: Smlouva o poskytnutí dotace mezi Olomouckým krajem a Regionální radou regionu soudržnosti Střední Morava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70" w:rsidRPr="00E86B01" w:rsidRDefault="001560C9" w:rsidP="00354CBB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AC2970">
      <w:rPr>
        <w:rFonts w:ascii="Arial" w:hAnsi="Arial" w:cs="Arial"/>
        <w:i/>
        <w:iCs/>
      </w:rPr>
      <w:t xml:space="preserve"> Olomouckého kraje</w:t>
    </w:r>
    <w:r w:rsidR="00AC2970" w:rsidRPr="00E86B01">
      <w:rPr>
        <w:rFonts w:ascii="Arial" w:hAnsi="Arial" w:cs="Arial"/>
        <w:i/>
        <w:iCs/>
      </w:rPr>
      <w:t xml:space="preserve"> </w:t>
    </w:r>
    <w:r>
      <w:rPr>
        <w:rFonts w:ascii="Arial" w:hAnsi="Arial" w:cs="Arial"/>
        <w:i/>
        <w:iCs/>
      </w:rPr>
      <w:t>27</w:t>
    </w:r>
    <w:r w:rsidR="00AC2970">
      <w:rPr>
        <w:rFonts w:ascii="Arial" w:hAnsi="Arial" w:cs="Arial"/>
        <w:i/>
        <w:iCs/>
      </w:rPr>
      <w:t>. 2. </w:t>
    </w:r>
    <w:r w:rsidR="00AC2970" w:rsidRPr="00E86B01">
      <w:rPr>
        <w:rFonts w:ascii="Arial" w:hAnsi="Arial" w:cs="Arial"/>
        <w:i/>
        <w:iCs/>
      </w:rPr>
      <w:t>20</w:t>
    </w:r>
    <w:r w:rsidR="00AC2970">
      <w:rPr>
        <w:rFonts w:ascii="Arial" w:hAnsi="Arial" w:cs="Arial"/>
        <w:i/>
        <w:iCs/>
      </w:rPr>
      <w:t>17</w:t>
    </w:r>
    <w:r w:rsidR="00AC2970" w:rsidRPr="00E86B01">
      <w:rPr>
        <w:rFonts w:ascii="Arial" w:hAnsi="Arial" w:cs="Arial"/>
        <w:i/>
        <w:iCs/>
      </w:rPr>
      <w:tab/>
    </w:r>
    <w:r w:rsidR="00AC2970" w:rsidRPr="00E86B01">
      <w:rPr>
        <w:rFonts w:ascii="Arial" w:hAnsi="Arial" w:cs="Arial"/>
        <w:i/>
        <w:iCs/>
      </w:rPr>
      <w:tab/>
      <w:t xml:space="preserve">Strana </w:t>
    </w:r>
    <w:r w:rsidR="00AC2970" w:rsidRPr="00E86B01">
      <w:rPr>
        <w:rStyle w:val="slostrnky"/>
        <w:rFonts w:ascii="Arial" w:hAnsi="Arial" w:cs="Arial"/>
        <w:i/>
        <w:iCs/>
      </w:rPr>
      <w:fldChar w:fldCharType="begin"/>
    </w:r>
    <w:r w:rsidR="00AC2970" w:rsidRPr="00E86B01">
      <w:rPr>
        <w:rStyle w:val="slostrnky"/>
        <w:rFonts w:ascii="Arial" w:hAnsi="Arial" w:cs="Arial"/>
        <w:i/>
        <w:iCs/>
      </w:rPr>
      <w:instrText xml:space="preserve"> PAGE </w:instrText>
    </w:r>
    <w:r w:rsidR="00AC2970" w:rsidRPr="00E86B01">
      <w:rPr>
        <w:rStyle w:val="slostrnky"/>
        <w:rFonts w:ascii="Arial" w:hAnsi="Arial" w:cs="Arial"/>
        <w:i/>
        <w:iCs/>
      </w:rPr>
      <w:fldChar w:fldCharType="separate"/>
    </w:r>
    <w:r w:rsidR="006F218D">
      <w:rPr>
        <w:rStyle w:val="slostrnky"/>
        <w:rFonts w:ascii="Arial" w:hAnsi="Arial" w:cs="Arial"/>
        <w:i/>
        <w:iCs/>
        <w:noProof/>
      </w:rPr>
      <w:t>18</w:t>
    </w:r>
    <w:r w:rsidR="00AC2970" w:rsidRPr="00E86B01">
      <w:rPr>
        <w:rStyle w:val="slostrnky"/>
        <w:rFonts w:ascii="Arial" w:hAnsi="Arial" w:cs="Arial"/>
        <w:i/>
        <w:iCs/>
      </w:rPr>
      <w:fldChar w:fldCharType="end"/>
    </w:r>
    <w:r w:rsidR="00AC2970" w:rsidRPr="00E86B01">
      <w:rPr>
        <w:rStyle w:val="slostrnky"/>
        <w:rFonts w:ascii="Arial" w:hAnsi="Arial" w:cs="Arial"/>
        <w:i/>
        <w:iCs/>
      </w:rPr>
      <w:t xml:space="preserve"> (celkem </w:t>
    </w:r>
    <w:r w:rsidR="00AC2970" w:rsidRPr="00E86B01">
      <w:rPr>
        <w:rStyle w:val="slostrnky"/>
        <w:rFonts w:ascii="Arial" w:hAnsi="Arial" w:cs="Arial"/>
        <w:i/>
        <w:iCs/>
      </w:rPr>
      <w:fldChar w:fldCharType="begin"/>
    </w:r>
    <w:r w:rsidR="00AC2970" w:rsidRPr="00E86B01">
      <w:rPr>
        <w:rStyle w:val="slostrnky"/>
        <w:rFonts w:ascii="Arial" w:hAnsi="Arial" w:cs="Arial"/>
        <w:i/>
        <w:iCs/>
      </w:rPr>
      <w:instrText xml:space="preserve"> NUMPAGES </w:instrText>
    </w:r>
    <w:r w:rsidR="00AC2970" w:rsidRPr="00E86B01">
      <w:rPr>
        <w:rStyle w:val="slostrnky"/>
        <w:rFonts w:ascii="Arial" w:hAnsi="Arial" w:cs="Arial"/>
        <w:i/>
        <w:iCs/>
      </w:rPr>
      <w:fldChar w:fldCharType="separate"/>
    </w:r>
    <w:r w:rsidR="006F218D">
      <w:rPr>
        <w:rStyle w:val="slostrnky"/>
        <w:rFonts w:ascii="Arial" w:hAnsi="Arial" w:cs="Arial"/>
        <w:i/>
        <w:iCs/>
        <w:noProof/>
      </w:rPr>
      <w:t>18</w:t>
    </w:r>
    <w:r w:rsidR="00AC2970" w:rsidRPr="00E86B01">
      <w:rPr>
        <w:rStyle w:val="slostrnky"/>
        <w:rFonts w:ascii="Arial" w:hAnsi="Arial" w:cs="Arial"/>
        <w:i/>
        <w:iCs/>
      </w:rPr>
      <w:fldChar w:fldCharType="end"/>
    </w:r>
    <w:r w:rsidR="00AC2970" w:rsidRPr="00E86B01">
      <w:rPr>
        <w:rStyle w:val="slostrnky"/>
        <w:rFonts w:ascii="Arial" w:hAnsi="Arial" w:cs="Arial"/>
        <w:i/>
        <w:iCs/>
      </w:rPr>
      <w:t>)</w:t>
    </w:r>
  </w:p>
  <w:p w:rsidR="00AC2970" w:rsidRDefault="00285289" w:rsidP="00354CBB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3</w:t>
    </w:r>
    <w:r w:rsidR="001560C9">
      <w:rPr>
        <w:rFonts w:ascii="Arial" w:hAnsi="Arial" w:cs="Arial"/>
        <w:i/>
        <w:iCs/>
      </w:rPr>
      <w:t>6</w:t>
    </w:r>
    <w:r w:rsidR="00AC2970">
      <w:rPr>
        <w:rFonts w:ascii="Arial" w:hAnsi="Arial" w:cs="Arial"/>
        <w:i/>
        <w:iCs/>
      </w:rPr>
      <w:t>.</w:t>
    </w:r>
    <w:r w:rsidR="00AC2970" w:rsidRPr="00E86B01">
      <w:rPr>
        <w:rFonts w:ascii="Arial" w:hAnsi="Arial" w:cs="Arial"/>
        <w:i/>
        <w:iCs/>
      </w:rPr>
      <w:t xml:space="preserve"> </w:t>
    </w:r>
    <w:r w:rsidR="00AC2970">
      <w:rPr>
        <w:rFonts w:ascii="Arial" w:hAnsi="Arial" w:cs="Arial"/>
        <w:i/>
        <w:iCs/>
      </w:rPr>
      <w:t xml:space="preserve">– </w:t>
    </w:r>
    <w:r w:rsidR="00AC2970" w:rsidRPr="007F1E20">
      <w:rPr>
        <w:rFonts w:ascii="Arial" w:hAnsi="Arial" w:cs="Arial"/>
        <w:i/>
        <w:iCs/>
      </w:rPr>
      <w:t>Žádost</w:t>
    </w:r>
    <w:r w:rsidR="00AC2970">
      <w:rPr>
        <w:rFonts w:ascii="Arial" w:hAnsi="Arial" w:cs="Arial"/>
        <w:i/>
        <w:iCs/>
      </w:rPr>
      <w:t>i</w:t>
    </w:r>
    <w:r w:rsidR="00AC2970" w:rsidRPr="007F1E20">
      <w:rPr>
        <w:rFonts w:ascii="Arial" w:hAnsi="Arial" w:cs="Arial"/>
        <w:i/>
        <w:iCs/>
      </w:rPr>
      <w:t xml:space="preserve"> o poskytnutí individuální dotace v oblasti </w:t>
    </w:r>
    <w:r w:rsidR="00AC2970">
      <w:rPr>
        <w:rFonts w:ascii="Arial" w:hAnsi="Arial" w:cs="Arial"/>
        <w:i/>
        <w:iCs/>
      </w:rPr>
      <w:t>strategického</w:t>
    </w:r>
    <w:r w:rsidR="00AC2970" w:rsidRPr="007F1E20">
      <w:rPr>
        <w:rFonts w:ascii="Arial" w:hAnsi="Arial" w:cs="Arial"/>
        <w:i/>
        <w:iCs/>
      </w:rPr>
      <w:t xml:space="preserve"> rozvoje</w:t>
    </w:r>
  </w:p>
  <w:p w:rsidR="00AC2970" w:rsidRPr="00354CBB" w:rsidRDefault="00AC2970" w:rsidP="0080261E">
    <w:pPr>
      <w:pStyle w:val="Zpat"/>
      <w:pBdr>
        <w:top w:val="single" w:sz="4" w:space="1" w:color="auto"/>
      </w:pBdr>
      <w:rPr>
        <w:rFonts w:ascii="Arial" w:hAnsi="Arial" w:cs="Arial"/>
        <w:i/>
        <w:iCs/>
      </w:rPr>
    </w:pPr>
    <w:r w:rsidRPr="0080261E">
      <w:rPr>
        <w:rFonts w:ascii="Arial" w:hAnsi="Arial" w:cs="Arial"/>
        <w:i/>
        <w:iCs/>
      </w:rPr>
      <w:t>Příloha č. 3: Smlouva o poskytnutí dotace mezi Olomouckým krajem a RARSM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CBB" w:rsidRDefault="005B0CBB">
      <w:r>
        <w:separator/>
      </w:r>
    </w:p>
  </w:footnote>
  <w:footnote w:type="continuationSeparator" w:id="0">
    <w:p w:rsidR="005B0CBB" w:rsidRDefault="005B0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70" w:rsidRPr="002C287B" w:rsidRDefault="00AC2970">
    <w:pPr>
      <w:pStyle w:val="Zhlav"/>
      <w:rPr>
        <w:rFonts w:ascii="Arial" w:hAnsi="Arial" w:cs="Arial"/>
        <w:sz w:val="24"/>
      </w:rPr>
    </w:pPr>
    <w:r w:rsidRPr="007F1E20">
      <w:rPr>
        <w:rFonts w:ascii="Arial" w:hAnsi="Arial" w:cs="Arial"/>
        <w:sz w:val="24"/>
      </w:rPr>
      <w:t xml:space="preserve">Příloha č. 1 </w:t>
    </w:r>
    <w:r>
      <w:rPr>
        <w:rFonts w:ascii="Arial" w:hAnsi="Arial" w:cs="Arial"/>
        <w:sz w:val="24"/>
      </w:rPr>
      <w:t>Informace o žádostech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70" w:rsidRPr="0080261E" w:rsidRDefault="00AC2970" w:rsidP="0080261E">
    <w:pPr>
      <w:pStyle w:val="Zhlav"/>
    </w:pPr>
    <w:r w:rsidRPr="0080261E">
      <w:rPr>
        <w:rFonts w:ascii="Arial" w:hAnsi="Arial" w:cs="Arial"/>
        <w:sz w:val="24"/>
      </w:rPr>
      <w:t>Příloha č. 2: Smlouva o poskytnutí dotace mezi Olomouckým krajem a Regionální radou regionu soudržnosti Střední Morava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970" w:rsidRPr="0080261E" w:rsidRDefault="00AC2970" w:rsidP="0080261E">
    <w:pPr>
      <w:pStyle w:val="Zhlav"/>
    </w:pPr>
    <w:r w:rsidRPr="0080261E">
      <w:rPr>
        <w:rFonts w:ascii="Arial" w:hAnsi="Arial" w:cs="Arial"/>
        <w:sz w:val="24"/>
      </w:rPr>
      <w:t>Příloha č. 3: Smlouva o poskytnutí dotace mezi Olomouckým krajem a RARSM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iCs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iCs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>
    <w:nsid w:val="00000006"/>
    <w:multiLevelType w:val="multi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6F4A96"/>
    <w:multiLevelType w:val="hybridMultilevel"/>
    <w:tmpl w:val="51C8F7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0492785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8">
    <w:nsid w:val="04F30AF7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>
    <w:nsid w:val="08E14C67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>
    <w:nsid w:val="0A261435"/>
    <w:multiLevelType w:val="hybridMultilevel"/>
    <w:tmpl w:val="08700616"/>
    <w:lvl w:ilvl="0" w:tplc="B2EED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7F2F3F"/>
    <w:multiLevelType w:val="hybridMultilevel"/>
    <w:tmpl w:val="492452DE"/>
    <w:lvl w:ilvl="0" w:tplc="677A2E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0E2E70"/>
    <w:multiLevelType w:val="hybridMultilevel"/>
    <w:tmpl w:val="492452DE"/>
    <w:lvl w:ilvl="0" w:tplc="677A2E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1A772D"/>
    <w:multiLevelType w:val="hybridMultilevel"/>
    <w:tmpl w:val="A6408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B45A4A"/>
    <w:multiLevelType w:val="hybridMultilevel"/>
    <w:tmpl w:val="01CA0FD4"/>
    <w:lvl w:ilvl="0" w:tplc="6F14B6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160DCE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581E46"/>
    <w:multiLevelType w:val="hybridMultilevel"/>
    <w:tmpl w:val="2BACA9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EB61C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2F022746"/>
    <w:multiLevelType w:val="hybridMultilevel"/>
    <w:tmpl w:val="AA1A21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A2BBE"/>
    <w:multiLevelType w:val="hybridMultilevel"/>
    <w:tmpl w:val="9530BF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824AD"/>
    <w:multiLevelType w:val="hybridMultilevel"/>
    <w:tmpl w:val="7A9E5D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B1CD0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>
    <w:nsid w:val="39DE4A20"/>
    <w:multiLevelType w:val="hybridMultilevel"/>
    <w:tmpl w:val="4198D1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7F6B61"/>
    <w:multiLevelType w:val="hybridMultilevel"/>
    <w:tmpl w:val="6540C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820FE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44FC4860"/>
    <w:multiLevelType w:val="hybridMultilevel"/>
    <w:tmpl w:val="08700616"/>
    <w:lvl w:ilvl="0" w:tplc="B2EED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D3746"/>
    <w:multiLevelType w:val="hybridMultilevel"/>
    <w:tmpl w:val="08700616"/>
    <w:lvl w:ilvl="0" w:tplc="B2EED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776ACB"/>
    <w:multiLevelType w:val="hybridMultilevel"/>
    <w:tmpl w:val="2BACA9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34EEA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>
    <w:nsid w:val="54F5710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>
    <w:nsid w:val="5FF74DDE"/>
    <w:multiLevelType w:val="hybridMultilevel"/>
    <w:tmpl w:val="3B4C5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B368FF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2">
    <w:nsid w:val="637250B0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>
    <w:nsid w:val="687404D8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>
    <w:nsid w:val="75BE5536"/>
    <w:multiLevelType w:val="hybridMultilevel"/>
    <w:tmpl w:val="7D6040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8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3"/>
  </w:num>
  <w:num w:numId="7">
    <w:abstractNumId w:val="24"/>
  </w:num>
  <w:num w:numId="8">
    <w:abstractNumId w:val="7"/>
  </w:num>
  <w:num w:numId="9">
    <w:abstractNumId w:val="21"/>
  </w:num>
  <w:num w:numId="10">
    <w:abstractNumId w:val="32"/>
  </w:num>
  <w:num w:numId="11">
    <w:abstractNumId w:val="9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13"/>
  </w:num>
  <w:num w:numId="18">
    <w:abstractNumId w:val="22"/>
  </w:num>
  <w:num w:numId="19">
    <w:abstractNumId w:val="12"/>
  </w:num>
  <w:num w:numId="20">
    <w:abstractNumId w:val="11"/>
  </w:num>
  <w:num w:numId="21">
    <w:abstractNumId w:val="25"/>
  </w:num>
  <w:num w:numId="22">
    <w:abstractNumId w:val="30"/>
  </w:num>
  <w:num w:numId="23">
    <w:abstractNumId w:val="4"/>
  </w:num>
  <w:num w:numId="24">
    <w:abstractNumId w:val="36"/>
  </w:num>
  <w:num w:numId="25">
    <w:abstractNumId w:val="19"/>
  </w:num>
  <w:num w:numId="26">
    <w:abstractNumId w:val="18"/>
  </w:num>
  <w:num w:numId="27">
    <w:abstractNumId w:val="23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16"/>
  </w:num>
  <w:num w:numId="35">
    <w:abstractNumId w:val="29"/>
  </w:num>
  <w:num w:numId="36">
    <w:abstractNumId w:val="17"/>
  </w:num>
  <w:num w:numId="37">
    <w:abstractNumId w:val="31"/>
  </w:num>
  <w:num w:numId="38">
    <w:abstractNumId w:val="8"/>
  </w:num>
  <w:num w:numId="39">
    <w:abstractNumId w:val="15"/>
  </w:num>
  <w:num w:numId="40">
    <w:abstractNumId w:val="27"/>
  </w:num>
  <w:num w:numId="41">
    <w:abstractNumId w:val="28"/>
  </w:num>
  <w:num w:numId="42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01"/>
    <w:rsid w:val="00004B38"/>
    <w:rsid w:val="00005E65"/>
    <w:rsid w:val="00006E64"/>
    <w:rsid w:val="00012378"/>
    <w:rsid w:val="00020A96"/>
    <w:rsid w:val="00022C57"/>
    <w:rsid w:val="000276AA"/>
    <w:rsid w:val="00034D8C"/>
    <w:rsid w:val="00052996"/>
    <w:rsid w:val="00063308"/>
    <w:rsid w:val="000639EF"/>
    <w:rsid w:val="000707A7"/>
    <w:rsid w:val="00082282"/>
    <w:rsid w:val="00092C72"/>
    <w:rsid w:val="00094CD1"/>
    <w:rsid w:val="00097D12"/>
    <w:rsid w:val="000A209C"/>
    <w:rsid w:val="000A2AC8"/>
    <w:rsid w:val="000A2D0B"/>
    <w:rsid w:val="000A7F4D"/>
    <w:rsid w:val="000B0AD7"/>
    <w:rsid w:val="000B7AAF"/>
    <w:rsid w:val="000C1BE5"/>
    <w:rsid w:val="000D0982"/>
    <w:rsid w:val="000D51D0"/>
    <w:rsid w:val="000E012D"/>
    <w:rsid w:val="000E20EA"/>
    <w:rsid w:val="000E38B8"/>
    <w:rsid w:val="000E5380"/>
    <w:rsid w:val="000E5B3C"/>
    <w:rsid w:val="000E5E4B"/>
    <w:rsid w:val="000E5E58"/>
    <w:rsid w:val="000E641C"/>
    <w:rsid w:val="000F0843"/>
    <w:rsid w:val="00104AC2"/>
    <w:rsid w:val="0011014C"/>
    <w:rsid w:val="00113561"/>
    <w:rsid w:val="001311A7"/>
    <w:rsid w:val="0014217E"/>
    <w:rsid w:val="00144E8A"/>
    <w:rsid w:val="00146578"/>
    <w:rsid w:val="0015199E"/>
    <w:rsid w:val="0015516B"/>
    <w:rsid w:val="001560C9"/>
    <w:rsid w:val="00182AD7"/>
    <w:rsid w:val="0018504E"/>
    <w:rsid w:val="001A734E"/>
    <w:rsid w:val="001B3991"/>
    <w:rsid w:val="001B43A0"/>
    <w:rsid w:val="001E3CEF"/>
    <w:rsid w:val="00205F8E"/>
    <w:rsid w:val="00221F42"/>
    <w:rsid w:val="00226048"/>
    <w:rsid w:val="0023227C"/>
    <w:rsid w:val="00232293"/>
    <w:rsid w:val="00241335"/>
    <w:rsid w:val="00246193"/>
    <w:rsid w:val="00251C4A"/>
    <w:rsid w:val="00253430"/>
    <w:rsid w:val="00254DE2"/>
    <w:rsid w:val="002566E2"/>
    <w:rsid w:val="00266AE8"/>
    <w:rsid w:val="00272483"/>
    <w:rsid w:val="00281812"/>
    <w:rsid w:val="00281FC3"/>
    <w:rsid w:val="00285289"/>
    <w:rsid w:val="002A1D98"/>
    <w:rsid w:val="002A227F"/>
    <w:rsid w:val="002A52C8"/>
    <w:rsid w:val="002A669C"/>
    <w:rsid w:val="002C287B"/>
    <w:rsid w:val="002C3079"/>
    <w:rsid w:val="002C4B96"/>
    <w:rsid w:val="002D51F6"/>
    <w:rsid w:val="002F234D"/>
    <w:rsid w:val="002F31D3"/>
    <w:rsid w:val="00305EE9"/>
    <w:rsid w:val="003062B7"/>
    <w:rsid w:val="0031090D"/>
    <w:rsid w:val="00323DCD"/>
    <w:rsid w:val="00325E0C"/>
    <w:rsid w:val="00327A78"/>
    <w:rsid w:val="00332BDF"/>
    <w:rsid w:val="00344F4D"/>
    <w:rsid w:val="00351D12"/>
    <w:rsid w:val="003540FE"/>
    <w:rsid w:val="00354CBB"/>
    <w:rsid w:val="003569D5"/>
    <w:rsid w:val="00361E08"/>
    <w:rsid w:val="00372F5A"/>
    <w:rsid w:val="00380332"/>
    <w:rsid w:val="00393622"/>
    <w:rsid w:val="00393DFE"/>
    <w:rsid w:val="00395720"/>
    <w:rsid w:val="00395D39"/>
    <w:rsid w:val="003A0CD8"/>
    <w:rsid w:val="003A3B96"/>
    <w:rsid w:val="003B392B"/>
    <w:rsid w:val="003B43FA"/>
    <w:rsid w:val="003E0D78"/>
    <w:rsid w:val="003E36B7"/>
    <w:rsid w:val="003E37F5"/>
    <w:rsid w:val="003E6E27"/>
    <w:rsid w:val="003F68B6"/>
    <w:rsid w:val="00400667"/>
    <w:rsid w:val="00410C35"/>
    <w:rsid w:val="00415A64"/>
    <w:rsid w:val="0042217C"/>
    <w:rsid w:val="00426565"/>
    <w:rsid w:val="00434498"/>
    <w:rsid w:val="004360DD"/>
    <w:rsid w:val="00436563"/>
    <w:rsid w:val="004453D4"/>
    <w:rsid w:val="00445F23"/>
    <w:rsid w:val="00446038"/>
    <w:rsid w:val="004466BE"/>
    <w:rsid w:val="00451EA5"/>
    <w:rsid w:val="00456674"/>
    <w:rsid w:val="004577F9"/>
    <w:rsid w:val="00464137"/>
    <w:rsid w:val="004713B3"/>
    <w:rsid w:val="0047617C"/>
    <w:rsid w:val="00484BA2"/>
    <w:rsid w:val="00487BBF"/>
    <w:rsid w:val="004904F6"/>
    <w:rsid w:val="00491364"/>
    <w:rsid w:val="00494841"/>
    <w:rsid w:val="004A02DF"/>
    <w:rsid w:val="004A6F36"/>
    <w:rsid w:val="004B59EA"/>
    <w:rsid w:val="004B6880"/>
    <w:rsid w:val="004B790F"/>
    <w:rsid w:val="004C0E90"/>
    <w:rsid w:val="004C66A6"/>
    <w:rsid w:val="004D5451"/>
    <w:rsid w:val="004E0218"/>
    <w:rsid w:val="004E134D"/>
    <w:rsid w:val="004E167C"/>
    <w:rsid w:val="004E2EDE"/>
    <w:rsid w:val="00500A3A"/>
    <w:rsid w:val="00501121"/>
    <w:rsid w:val="00504774"/>
    <w:rsid w:val="00522B4A"/>
    <w:rsid w:val="005244E7"/>
    <w:rsid w:val="005256FC"/>
    <w:rsid w:val="005341B9"/>
    <w:rsid w:val="00543A65"/>
    <w:rsid w:val="005441D8"/>
    <w:rsid w:val="00546176"/>
    <w:rsid w:val="0054674A"/>
    <w:rsid w:val="005602B1"/>
    <w:rsid w:val="00560C34"/>
    <w:rsid w:val="00563B8F"/>
    <w:rsid w:val="005650A3"/>
    <w:rsid w:val="005651B0"/>
    <w:rsid w:val="00575981"/>
    <w:rsid w:val="005806E5"/>
    <w:rsid w:val="00583EB4"/>
    <w:rsid w:val="00584338"/>
    <w:rsid w:val="00585D17"/>
    <w:rsid w:val="00587CAC"/>
    <w:rsid w:val="005A15E5"/>
    <w:rsid w:val="005A33BD"/>
    <w:rsid w:val="005B0CBB"/>
    <w:rsid w:val="005B1667"/>
    <w:rsid w:val="005D7644"/>
    <w:rsid w:val="005E1D7E"/>
    <w:rsid w:val="005E218B"/>
    <w:rsid w:val="005E4DFE"/>
    <w:rsid w:val="005F7721"/>
    <w:rsid w:val="00600918"/>
    <w:rsid w:val="006011B8"/>
    <w:rsid w:val="00615D5E"/>
    <w:rsid w:val="00634A02"/>
    <w:rsid w:val="00635FCA"/>
    <w:rsid w:val="0064101F"/>
    <w:rsid w:val="00674ED1"/>
    <w:rsid w:val="006869CF"/>
    <w:rsid w:val="00695EC1"/>
    <w:rsid w:val="006A2989"/>
    <w:rsid w:val="006A45F9"/>
    <w:rsid w:val="006A66CD"/>
    <w:rsid w:val="006A6D9C"/>
    <w:rsid w:val="006B6BAC"/>
    <w:rsid w:val="006E63AC"/>
    <w:rsid w:val="006E712D"/>
    <w:rsid w:val="006F111F"/>
    <w:rsid w:val="006F218D"/>
    <w:rsid w:val="00700CC3"/>
    <w:rsid w:val="00706B2E"/>
    <w:rsid w:val="00711DD3"/>
    <w:rsid w:val="0071384A"/>
    <w:rsid w:val="00713CC1"/>
    <w:rsid w:val="007168B6"/>
    <w:rsid w:val="00721D82"/>
    <w:rsid w:val="00722D0C"/>
    <w:rsid w:val="007274BF"/>
    <w:rsid w:val="007430E1"/>
    <w:rsid w:val="007510E4"/>
    <w:rsid w:val="007520BE"/>
    <w:rsid w:val="00767DEE"/>
    <w:rsid w:val="00770369"/>
    <w:rsid w:val="007750B6"/>
    <w:rsid w:val="00776BC3"/>
    <w:rsid w:val="00782403"/>
    <w:rsid w:val="00783465"/>
    <w:rsid w:val="00794AA9"/>
    <w:rsid w:val="00794FB4"/>
    <w:rsid w:val="007952F4"/>
    <w:rsid w:val="00795F6A"/>
    <w:rsid w:val="007A2F17"/>
    <w:rsid w:val="007B1FF0"/>
    <w:rsid w:val="007B3EB7"/>
    <w:rsid w:val="007B4E82"/>
    <w:rsid w:val="007C6703"/>
    <w:rsid w:val="007D59D3"/>
    <w:rsid w:val="007D700B"/>
    <w:rsid w:val="007E04F8"/>
    <w:rsid w:val="007F1937"/>
    <w:rsid w:val="007F1E20"/>
    <w:rsid w:val="007F2271"/>
    <w:rsid w:val="007F40A9"/>
    <w:rsid w:val="0080261E"/>
    <w:rsid w:val="008035A7"/>
    <w:rsid w:val="00804157"/>
    <w:rsid w:val="00812A79"/>
    <w:rsid w:val="008162BF"/>
    <w:rsid w:val="008168FD"/>
    <w:rsid w:val="00817279"/>
    <w:rsid w:val="00822F09"/>
    <w:rsid w:val="00823CD6"/>
    <w:rsid w:val="00824F30"/>
    <w:rsid w:val="008270C5"/>
    <w:rsid w:val="0083328C"/>
    <w:rsid w:val="00833660"/>
    <w:rsid w:val="00841EE9"/>
    <w:rsid w:val="008450F3"/>
    <w:rsid w:val="00857B18"/>
    <w:rsid w:val="00860CCA"/>
    <w:rsid w:val="008778EC"/>
    <w:rsid w:val="0088210F"/>
    <w:rsid w:val="00884D2A"/>
    <w:rsid w:val="008855B4"/>
    <w:rsid w:val="0089146E"/>
    <w:rsid w:val="008A67AD"/>
    <w:rsid w:val="008A7C1E"/>
    <w:rsid w:val="008B57FE"/>
    <w:rsid w:val="008D2EEC"/>
    <w:rsid w:val="008D422E"/>
    <w:rsid w:val="008E5DC0"/>
    <w:rsid w:val="008E7DBC"/>
    <w:rsid w:val="008F3150"/>
    <w:rsid w:val="008F4DD0"/>
    <w:rsid w:val="008F6EF0"/>
    <w:rsid w:val="00905D08"/>
    <w:rsid w:val="00916B9D"/>
    <w:rsid w:val="00917B15"/>
    <w:rsid w:val="0092568B"/>
    <w:rsid w:val="00931B94"/>
    <w:rsid w:val="0093248A"/>
    <w:rsid w:val="009338F2"/>
    <w:rsid w:val="009366DC"/>
    <w:rsid w:val="009409EE"/>
    <w:rsid w:val="009525BB"/>
    <w:rsid w:val="0097512B"/>
    <w:rsid w:val="00975AA9"/>
    <w:rsid w:val="00981A0F"/>
    <w:rsid w:val="00984488"/>
    <w:rsid w:val="009951D0"/>
    <w:rsid w:val="009952F3"/>
    <w:rsid w:val="009B4B6D"/>
    <w:rsid w:val="009D019A"/>
    <w:rsid w:val="009D1434"/>
    <w:rsid w:val="009D5839"/>
    <w:rsid w:val="009D76C8"/>
    <w:rsid w:val="009E7132"/>
    <w:rsid w:val="009F09EB"/>
    <w:rsid w:val="009F7022"/>
    <w:rsid w:val="00A115FA"/>
    <w:rsid w:val="00A159EF"/>
    <w:rsid w:val="00A32039"/>
    <w:rsid w:val="00A41DE8"/>
    <w:rsid w:val="00A566EA"/>
    <w:rsid w:val="00A6549F"/>
    <w:rsid w:val="00A655DB"/>
    <w:rsid w:val="00A7158D"/>
    <w:rsid w:val="00A7409E"/>
    <w:rsid w:val="00A75B3F"/>
    <w:rsid w:val="00A80B6A"/>
    <w:rsid w:val="00A8103B"/>
    <w:rsid w:val="00A828C0"/>
    <w:rsid w:val="00A84CB7"/>
    <w:rsid w:val="00A95941"/>
    <w:rsid w:val="00A96470"/>
    <w:rsid w:val="00AA2215"/>
    <w:rsid w:val="00AB1205"/>
    <w:rsid w:val="00AB4F76"/>
    <w:rsid w:val="00AC2970"/>
    <w:rsid w:val="00AC62AF"/>
    <w:rsid w:val="00AC6AF2"/>
    <w:rsid w:val="00AD4AEE"/>
    <w:rsid w:val="00AE0D1D"/>
    <w:rsid w:val="00AE5AF8"/>
    <w:rsid w:val="00AE6882"/>
    <w:rsid w:val="00AF63A2"/>
    <w:rsid w:val="00B13699"/>
    <w:rsid w:val="00B24927"/>
    <w:rsid w:val="00B40C64"/>
    <w:rsid w:val="00B40D6A"/>
    <w:rsid w:val="00B7106A"/>
    <w:rsid w:val="00B75CEB"/>
    <w:rsid w:val="00B776AD"/>
    <w:rsid w:val="00B83F76"/>
    <w:rsid w:val="00B84616"/>
    <w:rsid w:val="00B85806"/>
    <w:rsid w:val="00B93F59"/>
    <w:rsid w:val="00B96A8B"/>
    <w:rsid w:val="00BB3076"/>
    <w:rsid w:val="00BB3692"/>
    <w:rsid w:val="00BC4159"/>
    <w:rsid w:val="00BC580B"/>
    <w:rsid w:val="00BD1C7C"/>
    <w:rsid w:val="00BD6FE2"/>
    <w:rsid w:val="00BE757A"/>
    <w:rsid w:val="00BF0E32"/>
    <w:rsid w:val="00BF357F"/>
    <w:rsid w:val="00BF5B1A"/>
    <w:rsid w:val="00C02389"/>
    <w:rsid w:val="00C04F2D"/>
    <w:rsid w:val="00C072DC"/>
    <w:rsid w:val="00C07524"/>
    <w:rsid w:val="00C11668"/>
    <w:rsid w:val="00C1587E"/>
    <w:rsid w:val="00C162F2"/>
    <w:rsid w:val="00C30B5B"/>
    <w:rsid w:val="00C3776B"/>
    <w:rsid w:val="00C45A1B"/>
    <w:rsid w:val="00C67AC5"/>
    <w:rsid w:val="00C70266"/>
    <w:rsid w:val="00C74F28"/>
    <w:rsid w:val="00C77C3F"/>
    <w:rsid w:val="00C8040A"/>
    <w:rsid w:val="00C86224"/>
    <w:rsid w:val="00CA0B79"/>
    <w:rsid w:val="00CA4B65"/>
    <w:rsid w:val="00CA75BB"/>
    <w:rsid w:val="00CB38AD"/>
    <w:rsid w:val="00CB543A"/>
    <w:rsid w:val="00CC424E"/>
    <w:rsid w:val="00CC62F2"/>
    <w:rsid w:val="00CE412D"/>
    <w:rsid w:val="00CF0F10"/>
    <w:rsid w:val="00CF2FA0"/>
    <w:rsid w:val="00CF32BA"/>
    <w:rsid w:val="00D008F6"/>
    <w:rsid w:val="00D00C89"/>
    <w:rsid w:val="00D010BA"/>
    <w:rsid w:val="00D10256"/>
    <w:rsid w:val="00D107C4"/>
    <w:rsid w:val="00D12EB3"/>
    <w:rsid w:val="00D36616"/>
    <w:rsid w:val="00D40299"/>
    <w:rsid w:val="00D417E2"/>
    <w:rsid w:val="00D44AE3"/>
    <w:rsid w:val="00D45D7C"/>
    <w:rsid w:val="00D462F8"/>
    <w:rsid w:val="00D46C24"/>
    <w:rsid w:val="00D47A67"/>
    <w:rsid w:val="00D53018"/>
    <w:rsid w:val="00D55698"/>
    <w:rsid w:val="00D57212"/>
    <w:rsid w:val="00D60D34"/>
    <w:rsid w:val="00D63849"/>
    <w:rsid w:val="00D721B2"/>
    <w:rsid w:val="00D77DF2"/>
    <w:rsid w:val="00D83AB0"/>
    <w:rsid w:val="00D97BD1"/>
    <w:rsid w:val="00DA5B3D"/>
    <w:rsid w:val="00DA7D8C"/>
    <w:rsid w:val="00DB20B7"/>
    <w:rsid w:val="00DB4479"/>
    <w:rsid w:val="00DC4858"/>
    <w:rsid w:val="00DE14CC"/>
    <w:rsid w:val="00DE4D7F"/>
    <w:rsid w:val="00DE5FF7"/>
    <w:rsid w:val="00DF6C3E"/>
    <w:rsid w:val="00E03354"/>
    <w:rsid w:val="00E068D7"/>
    <w:rsid w:val="00E06E5C"/>
    <w:rsid w:val="00E2218A"/>
    <w:rsid w:val="00E26319"/>
    <w:rsid w:val="00E31537"/>
    <w:rsid w:val="00E34D65"/>
    <w:rsid w:val="00E5003B"/>
    <w:rsid w:val="00E50263"/>
    <w:rsid w:val="00E50A45"/>
    <w:rsid w:val="00E56708"/>
    <w:rsid w:val="00E62B99"/>
    <w:rsid w:val="00E673FD"/>
    <w:rsid w:val="00E703A8"/>
    <w:rsid w:val="00E761D9"/>
    <w:rsid w:val="00E82E40"/>
    <w:rsid w:val="00E86B01"/>
    <w:rsid w:val="00E96B20"/>
    <w:rsid w:val="00EA2CB4"/>
    <w:rsid w:val="00EA45D6"/>
    <w:rsid w:val="00EA581D"/>
    <w:rsid w:val="00EA6EA1"/>
    <w:rsid w:val="00EA7F8F"/>
    <w:rsid w:val="00EB3AD7"/>
    <w:rsid w:val="00EC01BB"/>
    <w:rsid w:val="00EC73F2"/>
    <w:rsid w:val="00ED4EFB"/>
    <w:rsid w:val="00ED6FAA"/>
    <w:rsid w:val="00EE0255"/>
    <w:rsid w:val="00EE2126"/>
    <w:rsid w:val="00EE25C9"/>
    <w:rsid w:val="00EE3F2B"/>
    <w:rsid w:val="00EE4D89"/>
    <w:rsid w:val="00EE5E3A"/>
    <w:rsid w:val="00EF2005"/>
    <w:rsid w:val="00EF316A"/>
    <w:rsid w:val="00EF6A47"/>
    <w:rsid w:val="00F04E09"/>
    <w:rsid w:val="00F17D30"/>
    <w:rsid w:val="00F319DF"/>
    <w:rsid w:val="00F44815"/>
    <w:rsid w:val="00F45630"/>
    <w:rsid w:val="00F5701B"/>
    <w:rsid w:val="00F74DDF"/>
    <w:rsid w:val="00F82A1A"/>
    <w:rsid w:val="00F844FA"/>
    <w:rsid w:val="00F86B8C"/>
    <w:rsid w:val="00F9543F"/>
    <w:rsid w:val="00F96174"/>
    <w:rsid w:val="00F97F74"/>
    <w:rsid w:val="00FA51D4"/>
    <w:rsid w:val="00FC4828"/>
    <w:rsid w:val="00FD3021"/>
    <w:rsid w:val="00FD4A45"/>
    <w:rsid w:val="00FE387F"/>
    <w:rsid w:val="00FE55C5"/>
    <w:rsid w:val="00FF331C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706B2E"/>
  </w:style>
  <w:style w:type="paragraph" w:customStyle="1" w:styleId="Plohy">
    <w:name w:val="Přílohy"/>
    <w:basedOn w:val="Normln"/>
    <w:rsid w:val="00BB3076"/>
    <w:pPr>
      <w:widowControl w:val="0"/>
      <w:spacing w:after="120"/>
      <w:jc w:val="both"/>
    </w:pPr>
    <w:rPr>
      <w:rFonts w:ascii="Arial" w:hAnsi="Arial"/>
      <w:noProof/>
      <w:sz w:val="24"/>
    </w:rPr>
  </w:style>
  <w:style w:type="paragraph" w:styleId="Textbubliny">
    <w:name w:val="Balloon Text"/>
    <w:basedOn w:val="Normln"/>
    <w:link w:val="TextbublinyChar"/>
    <w:rsid w:val="007824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8240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4D65"/>
    <w:pPr>
      <w:ind w:left="720"/>
      <w:contextualSpacing/>
    </w:pPr>
    <w:rPr>
      <w:sz w:val="24"/>
      <w:szCs w:val="24"/>
    </w:rPr>
  </w:style>
  <w:style w:type="character" w:customStyle="1" w:styleId="preformatted">
    <w:name w:val="preformatted"/>
    <w:basedOn w:val="Standardnpsmoodstavce"/>
    <w:rsid w:val="00E34D65"/>
  </w:style>
  <w:style w:type="character" w:customStyle="1" w:styleId="nowrap">
    <w:name w:val="nowrap"/>
    <w:basedOn w:val="Standardnpsmoodstavce"/>
    <w:rsid w:val="00E34D65"/>
  </w:style>
  <w:style w:type="paragraph" w:customStyle="1" w:styleId="Default">
    <w:name w:val="Default"/>
    <w:rsid w:val="000A7F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0A7F4D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0A7F4D"/>
    <w:rPr>
      <w:rFonts w:asciiTheme="minorHAnsi" w:eastAsiaTheme="minorEastAsia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354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mallCap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zev">
    <w:name w:val="Title"/>
    <w:basedOn w:val="Normln"/>
    <w:qFormat/>
    <w:pPr>
      <w:jc w:val="center"/>
    </w:pPr>
    <w:rPr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table" w:styleId="Mkatabulky">
    <w:name w:val="Table Grid"/>
    <w:basedOn w:val="Normlntabulka"/>
    <w:rsid w:val="00254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655DB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706B2E"/>
  </w:style>
  <w:style w:type="paragraph" w:customStyle="1" w:styleId="Plohy">
    <w:name w:val="Přílohy"/>
    <w:basedOn w:val="Normln"/>
    <w:rsid w:val="00BB3076"/>
    <w:pPr>
      <w:widowControl w:val="0"/>
      <w:spacing w:after="120"/>
      <w:jc w:val="both"/>
    </w:pPr>
    <w:rPr>
      <w:rFonts w:ascii="Arial" w:hAnsi="Arial"/>
      <w:noProof/>
      <w:sz w:val="24"/>
    </w:rPr>
  </w:style>
  <w:style w:type="paragraph" w:styleId="Textbubliny">
    <w:name w:val="Balloon Text"/>
    <w:basedOn w:val="Normln"/>
    <w:link w:val="TextbublinyChar"/>
    <w:rsid w:val="007824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8240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4D65"/>
    <w:pPr>
      <w:ind w:left="720"/>
      <w:contextualSpacing/>
    </w:pPr>
    <w:rPr>
      <w:sz w:val="24"/>
      <w:szCs w:val="24"/>
    </w:rPr>
  </w:style>
  <w:style w:type="character" w:customStyle="1" w:styleId="preformatted">
    <w:name w:val="preformatted"/>
    <w:basedOn w:val="Standardnpsmoodstavce"/>
    <w:rsid w:val="00E34D65"/>
  </w:style>
  <w:style w:type="character" w:customStyle="1" w:styleId="nowrap">
    <w:name w:val="nowrap"/>
    <w:basedOn w:val="Standardnpsmoodstavce"/>
    <w:rsid w:val="00E34D65"/>
  </w:style>
  <w:style w:type="paragraph" w:customStyle="1" w:styleId="Default">
    <w:name w:val="Default"/>
    <w:rsid w:val="000A7F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0A7F4D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0A7F4D"/>
    <w:rPr>
      <w:rFonts w:asciiTheme="minorHAnsi" w:eastAsiaTheme="minorEastAsia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354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869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54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19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3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66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955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285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kr-olomoucky.cz/vyuctovani-prispevku-dotace-cl-3802.html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kr-olomoucky.cz/vyuctovani-prispevku-dotace-cl-3802.html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OO-KH%20standardizovan&#233;%20dokumenty\&#353;ablona-materi&#225;l%20ROK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61BD-7B22-4D91-90D0-79023B5A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šablona-materiál ROK</Template>
  <TotalTime>1</TotalTime>
  <Pages>18</Pages>
  <Words>5897</Words>
  <Characters>34796</Characters>
  <Application>Microsoft Office Word</Application>
  <DocSecurity>0</DocSecurity>
  <Lines>289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ROK</vt:lpstr>
    </vt:vector>
  </TitlesOfParts>
  <Company/>
  <LinksUpToDate>false</LinksUpToDate>
  <CharactersWithSpaces>40612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ROK</dc:title>
  <dc:creator>Taťána Vyhnálková</dc:creator>
  <cp:lastModifiedBy>Novotná Marta</cp:lastModifiedBy>
  <cp:revision>2</cp:revision>
  <cp:lastPrinted>2016-09-08T12:19:00Z</cp:lastPrinted>
  <dcterms:created xsi:type="dcterms:W3CDTF">2017-02-07T11:38:00Z</dcterms:created>
  <dcterms:modified xsi:type="dcterms:W3CDTF">2017-02-07T11:38:00Z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