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CBDDA4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4CDE1A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0816868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209ABD61" w14:textId="438CC0CC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7F8CA3DE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56E98E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04DC66F" w14:textId="01B89EDF" w:rsidR="00CF4895" w:rsidRDefault="00CF489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1D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2104D3" w:rsidRPr="003E1D53">
        <w:rPr>
          <w:rFonts w:ascii="Arial" w:hAnsi="Arial" w:cs="Arial"/>
          <w:sz w:val="24"/>
          <w:szCs w:val="24"/>
        </w:rPr>
        <w:t>příjemcem v jeho</w:t>
      </w:r>
      <w:r w:rsidRPr="003E1D53">
        <w:rPr>
          <w:rFonts w:ascii="Arial" w:hAnsi="Arial" w:cs="Arial"/>
          <w:sz w:val="24"/>
          <w:szCs w:val="24"/>
        </w:rPr>
        <w:t xml:space="preserve"> vnitřním předpis</w:t>
      </w:r>
      <w:r w:rsidR="002104D3" w:rsidRPr="003E1D53">
        <w:rPr>
          <w:rFonts w:ascii="Arial" w:hAnsi="Arial" w:cs="Arial"/>
          <w:sz w:val="24"/>
          <w:szCs w:val="24"/>
        </w:rPr>
        <w:t>u</w:t>
      </w:r>
      <w:r w:rsidRPr="003E1D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2104D3" w:rsidRPr="003E1D53">
        <w:rPr>
          <w:rFonts w:ascii="Arial" w:hAnsi="Arial" w:cs="Arial"/>
          <w:sz w:val="24"/>
          <w:szCs w:val="24"/>
        </w:rPr>
        <w:t>příjemce</w:t>
      </w:r>
      <w:r w:rsidRPr="003E1D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E1D53" w:rsidRPr="003E1D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661AE19A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2B57D9D7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35D8551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62D53B5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82E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75DBAF18" w:rsidR="009A3DA5" w:rsidRPr="00711602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93AE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B93AE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55A61C7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A766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F4B9F8C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47B8CF3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dotačí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01F98881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9C768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35285F" w:rsidRPr="0035285F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35285F" w:rsidRPr="0035285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9C768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1E5DC3" w:rsidRPr="001E5D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69243BA" w:rsidR="00A9730D" w:rsidRPr="00A9730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3D0A034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DE4BD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B93D5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BA5EE6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09FC040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 na základě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3EAF193" w:rsidR="004514E3" w:rsidRPr="00CC0204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E3E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5887A993" w:rsidR="00170EC7" w:rsidRPr="00AA5967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B3F3E90" w14:textId="44DC2A7B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53D7055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E777CA0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7624B22" w:rsidR="00FE3DFD" w:rsidRPr="0071160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</w:t>
      </w:r>
      <w:r w:rsidR="00B3610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E5E9075" w:rsidR="00FE3DFD" w:rsidRPr="0071160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F2C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F2CC2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6A4F2694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0252C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2EEB7DCA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E3BCD2E" w:rsidR="00D571FB" w:rsidRPr="00711602" w:rsidRDefault="00D1340F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DB0249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711602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9811A08" w:rsidR="00FE3DFD" w:rsidRPr="00711602" w:rsidRDefault="00D1340F" w:rsidP="0059637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DB0249" w:rsidRPr="00DB02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6A5FA7E6" w:rsidR="00FE3DFD" w:rsidRPr="00711602" w:rsidRDefault="00FE3DFD" w:rsidP="0059637E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5E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4E25CBC8" w:rsidR="00FE3DFD" w:rsidRPr="00711602" w:rsidRDefault="00DB0249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24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B0249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6E78788A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225081" w:rsidRPr="0022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6372A8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5AFEE19C" w:rsidR="00A34824" w:rsidRPr="009B2BCC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B02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bookmarkStart w:id="0" w:name="_GoBack"/>
      <w:bookmarkEnd w:id="0"/>
    </w:p>
    <w:sectPr w:rsidR="00A34824" w:rsidRPr="009B2BCC" w:rsidSect="00CC4C47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4E46" w14:textId="77777777" w:rsidR="00C4149E" w:rsidRDefault="00C4149E" w:rsidP="00D40C40">
      <w:r>
        <w:separator/>
      </w:r>
    </w:p>
  </w:endnote>
  <w:endnote w:type="continuationSeparator" w:id="0">
    <w:p w14:paraId="65E54B40" w14:textId="77777777" w:rsidR="00C4149E" w:rsidRDefault="00C4149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0DF1C0" w14:textId="72E060A5" w:rsidR="00E015DB" w:rsidRPr="00E25DAD" w:rsidRDefault="007176E2" w:rsidP="00E015D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7176E2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00941B8" w14:textId="31D48413" w:rsidR="00860767" w:rsidRPr="00860767" w:rsidRDefault="007176E2" w:rsidP="0086076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60767" w:rsidRPr="00860767">
      <w:rPr>
        <w:rFonts w:ascii="Arial" w:hAnsi="Arial" w:cs="Arial"/>
        <w:i/>
        <w:sz w:val="20"/>
        <w:szCs w:val="20"/>
      </w:rPr>
      <w:t>. Poskytování finanční podpory z rozpočtu Olomouckého kraje – zásady a pravidla</w:t>
    </w:r>
  </w:p>
  <w:p w14:paraId="399859BB" w14:textId="5243E671" w:rsidR="00B277BB" w:rsidRPr="00EA03F3" w:rsidRDefault="000E72C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03F3">
      <w:rPr>
        <w:rFonts w:ascii="Arial" w:hAnsi="Arial" w:cs="Arial"/>
        <w:i/>
        <w:sz w:val="20"/>
        <w:szCs w:val="20"/>
      </w:rPr>
      <w:t>Příloha č. 12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r w:rsidR="00B277BB" w:rsidRPr="00EA03F3">
      <w:rPr>
        <w:rFonts w:ascii="Arial" w:hAnsi="Arial" w:cs="Arial"/>
        <w:i/>
        <w:sz w:val="20"/>
        <w:szCs w:val="20"/>
      </w:rPr>
      <w:t>příspěvkovým organizacím /Vzor 9/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8C92" w14:textId="77777777" w:rsidR="00C4149E" w:rsidRDefault="00C4149E" w:rsidP="00D40C40">
      <w:r>
        <w:separator/>
      </w:r>
    </w:p>
  </w:footnote>
  <w:footnote w:type="continuationSeparator" w:id="0">
    <w:p w14:paraId="4127B68B" w14:textId="77777777" w:rsidR="00C4149E" w:rsidRDefault="00C4149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67"/>
    <w:rsid w:val="0086634E"/>
    <w:rsid w:val="00866505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49E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D0F"/>
    <w:rsid w:val="00D162E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0249"/>
    <w:rsid w:val="00DB3240"/>
    <w:rsid w:val="00DB68A2"/>
    <w:rsid w:val="00DC038B"/>
    <w:rsid w:val="00DC039D"/>
    <w:rsid w:val="00DC039E"/>
    <w:rsid w:val="00DC473B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08CD-190B-4058-B681-E21FF2B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4762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2018-08-24T12:56:00Z</cp:lastPrinted>
  <dcterms:created xsi:type="dcterms:W3CDTF">2021-08-31T06:38:00Z</dcterms:created>
  <dcterms:modified xsi:type="dcterms:W3CDTF">2021-08-31T06:38:00Z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