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61CD82F" w14:textId="77777777" w:rsidR="00F63419" w:rsidRPr="00537FD7" w:rsidRDefault="00E62519" w:rsidP="00F63419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3419" w:rsidRPr="00537FD7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Olomouckého kraje,</w:t>
      </w:r>
    </w:p>
    <w:p w14:paraId="3B9E46A9" w14:textId="603FD3B7" w:rsidR="00F63419" w:rsidRPr="00537FD7" w:rsidRDefault="00F63419" w:rsidP="00F63419">
      <w:pPr>
        <w:spacing w:after="120"/>
        <w:ind w:left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            na základě usnesení Zastupitelstva Olomouckého kraje č.   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UZ/../…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/2020 ze dne 20. 04. 2019</w:t>
      </w:r>
    </w:p>
    <w:p w14:paraId="42099517" w14:textId="77777777" w:rsidR="00F63419" w:rsidRPr="00537FD7" w:rsidRDefault="00F63419" w:rsidP="00F634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4A96914" w14:textId="491FD665" w:rsidR="00F63419" w:rsidRPr="00537FD7" w:rsidRDefault="00F63419" w:rsidP="00F63419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Číslo účtu: 27–4228330207/0100</w:t>
      </w:r>
    </w:p>
    <w:p w14:paraId="54559463" w14:textId="7230CFF2" w:rsidR="00E62519" w:rsidRPr="00537FD7" w:rsidRDefault="00F63419" w:rsidP="00F634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537FD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537FD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537FD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37FD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786AE4" w14:textId="77777777" w:rsidR="00847B1F" w:rsidRPr="00537FD7" w:rsidRDefault="00847B1F" w:rsidP="00847B1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Českomoravská myslivecká </w:t>
      </w:r>
      <w:proofErr w:type="gramStart"/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jednota, </w:t>
      </w:r>
      <w:proofErr w:type="spellStart"/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– okresní myslivecký spolek Olomouc </w:t>
      </w:r>
    </w:p>
    <w:p w14:paraId="3BA970DD" w14:textId="77777777" w:rsidR="00847B1F" w:rsidRPr="00537FD7" w:rsidRDefault="00847B1F" w:rsidP="00847B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Wellnerova 301/20, Nová ulice, 779 00 Olomouc</w:t>
      </w:r>
    </w:p>
    <w:p w14:paraId="6E5BA56D" w14:textId="77777777" w:rsidR="00847B1F" w:rsidRPr="00537FD7" w:rsidRDefault="00847B1F" w:rsidP="00847B1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67777481</w:t>
      </w:r>
    </w:p>
    <w:p w14:paraId="4CE629F4" w14:textId="569F3171" w:rsidR="00847B1F" w:rsidRPr="00537FD7" w:rsidRDefault="00847B1F" w:rsidP="00847B1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RNDr. Jiřím Zbořilem, místopředsedou</w:t>
      </w:r>
      <w:r w:rsidR="005D738D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myslivecké rady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udělené plné moci ze dne 25. 01. 2016 </w:t>
      </w:r>
    </w:p>
    <w:p w14:paraId="34E44A16" w14:textId="77777777" w:rsidR="00847B1F" w:rsidRPr="00537FD7" w:rsidRDefault="00847B1F" w:rsidP="00847B1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Cs/>
          <w:sz w:val="24"/>
          <w:szCs w:val="24"/>
        </w:rPr>
        <w:t xml:space="preserve">Pobočný spolek zapsaný ve spolkovém rejstříku vedeném </w:t>
      </w:r>
      <w:r w:rsidRPr="00537FD7">
        <w:rPr>
          <w:rFonts w:ascii="Arial" w:hAnsi="Arial" w:cs="Arial"/>
          <w:sz w:val="24"/>
          <w:szCs w:val="24"/>
        </w:rPr>
        <w:t>u Městského soudu v Praze</w:t>
      </w:r>
      <w:r w:rsidRPr="00537FD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537F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spisová značka </w:t>
      </w:r>
      <w:r w:rsidRPr="00537FD7">
        <w:rPr>
          <w:rFonts w:ascii="Arial" w:hAnsi="Arial" w:cs="Arial"/>
          <w:sz w:val="24"/>
          <w:szCs w:val="24"/>
        </w:rPr>
        <w:t>L 46654</w:t>
      </w:r>
    </w:p>
    <w:p w14:paraId="34FAFCAB" w14:textId="77777777" w:rsidR="00847B1F" w:rsidRPr="00537FD7" w:rsidRDefault="00847B1F" w:rsidP="00847B1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</w:t>
      </w:r>
    </w:p>
    <w:p w14:paraId="1BBBFB53" w14:textId="578B3586" w:rsidR="00847B1F" w:rsidRPr="00537FD7" w:rsidRDefault="00847B1F" w:rsidP="00847B1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B444F3">
        <w:rPr>
          <w:rFonts w:ascii="Arial" w:eastAsia="Times New Roman" w:hAnsi="Arial" w:cs="Arial"/>
          <w:sz w:val="24"/>
          <w:szCs w:val="24"/>
          <w:lang w:eastAsia="cs-CZ"/>
        </w:rPr>
        <w:t>xxxxxxxxxxxxxx</w:t>
      </w:r>
      <w:proofErr w:type="spellEnd"/>
    </w:p>
    <w:p w14:paraId="3426E309" w14:textId="15A55268" w:rsidR="00E62519" w:rsidRPr="00537FD7" w:rsidRDefault="00847B1F" w:rsidP="00847B1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537FD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537FD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537FD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5CBE03E" w14:textId="77777777" w:rsidR="00847B1F" w:rsidRPr="00537FD7" w:rsidRDefault="009A3DA5" w:rsidP="00091C5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250 000,-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dvěstě</w:t>
      </w:r>
      <w:proofErr w:type="spellEnd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padesát tisíc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537FD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37FD7">
        <w:rPr>
          <w:rFonts w:ascii="Arial" w:hAnsi="Arial" w:cs="Arial"/>
          <w:sz w:val="24"/>
          <w:szCs w:val="24"/>
        </w:rPr>
        <w:t xml:space="preserve"> </w:t>
      </w:r>
      <w:r w:rsidR="000979C5" w:rsidRPr="00537FD7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</w:t>
      </w:r>
      <w:r w:rsidR="00490A87" w:rsidRPr="00537FD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0979C5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3C9258CF" w14:textId="3966CFFC" w:rsidR="009A3DA5" w:rsidRPr="00537FD7" w:rsidRDefault="009A3DA5" w:rsidP="00091C5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37FD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37FD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spellEnd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realizaci akce „Národní výstava psů </w:t>
      </w:r>
      <w:proofErr w:type="spellStart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Floracanis</w:t>
      </w:r>
      <w:proofErr w:type="spellEnd"/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AC4165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7B1F" w:rsidRPr="00537FD7">
        <w:rPr>
          <w:rFonts w:ascii="Arial" w:eastAsia="Times New Roman" w:hAnsi="Arial" w:cs="Arial"/>
          <w:sz w:val="24"/>
          <w:szCs w:val="24"/>
          <w:lang w:eastAsia="cs-CZ"/>
        </w:rPr>
        <w:t>2020“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7A8DD06" w:rsidR="009A3DA5" w:rsidRPr="00537FD7" w:rsidRDefault="009A3DA5" w:rsidP="005D738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37FD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37F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37FD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37FD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37FD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37FD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37FD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37FD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537F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490A87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90A87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16B827A2" w:rsidR="009A3DA5" w:rsidRPr="00537FD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37F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37FD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37F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537F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537FD7" w:rsidRDefault="009A3DA5" w:rsidP="00537FD7">
      <w:pPr>
        <w:numPr>
          <w:ilvl w:val="0"/>
          <w:numId w:val="17"/>
        </w:numPr>
        <w:tabs>
          <w:tab w:val="clear" w:pos="360"/>
        </w:tabs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C5C8161" w:rsidR="00001074" w:rsidRPr="00537FD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A318C8" w:rsidRPr="00537FD7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537FD7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537FD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1412B2" w:rsidRPr="00537FD7">
        <w:rPr>
          <w:rFonts w:ascii="Arial" w:eastAsia="Times New Roman" w:hAnsi="Arial" w:cs="Arial"/>
          <w:sz w:val="24"/>
          <w:szCs w:val="24"/>
          <w:lang w:eastAsia="cs-CZ"/>
        </w:rPr>
        <w:t>ze dne 20. 04. 2020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537FD7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C71065" w:rsidRPr="00537FD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A9C0AE7" w14:textId="77777777" w:rsidR="00AC4165" w:rsidRPr="00537FD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</w:p>
    <w:p w14:paraId="26FD53DE" w14:textId="77777777" w:rsidR="00AC4165" w:rsidRPr="00537FD7" w:rsidRDefault="00AC4165" w:rsidP="00AC4165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426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pokrytí části výdajů za pronájem areálu výstaviště Flora Olomouc,</w:t>
      </w:r>
    </w:p>
    <w:p w14:paraId="5F87359A" w14:textId="77777777" w:rsidR="00AC4165" w:rsidRPr="00537FD7" w:rsidRDefault="00AC4165" w:rsidP="00AC416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40"/>
        <w:ind w:left="993" w:hanging="426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výdaje na materiály související s vlastní výstavou (výstavní katalog, posudkové listy, diplomy apod.).</w:t>
      </w:r>
    </w:p>
    <w:p w14:paraId="7BDD1F61" w14:textId="77777777" w:rsidR="005A7982" w:rsidRPr="00537FD7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FF56F70" w14:textId="77777777" w:rsidR="00AC4165" w:rsidRPr="00537FD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982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</w:p>
    <w:p w14:paraId="20A6D12C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jakýkoli výdaj, který zcela zřetelně nesouvisí s akcí, na kterou je poskytována dotace nebo který není možno doložit písemnými doklady,</w:t>
      </w:r>
    </w:p>
    <w:p w14:paraId="3AB34114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09D469AC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34E690F3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vzájemný zápočet pohledávek,</w:t>
      </w:r>
    </w:p>
    <w:p w14:paraId="0C538D3A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pojistné,</w:t>
      </w:r>
    </w:p>
    <w:p w14:paraId="7C5DA077" w14:textId="338C93E9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bankovní poplatky,</w:t>
      </w:r>
    </w:p>
    <w:p w14:paraId="0A0DD8C4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nákup darů – mimo ceny do soutěží,</w:t>
      </w:r>
    </w:p>
    <w:p w14:paraId="5041A08F" w14:textId="77777777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t>mzdové výdaje nad 20 % celkových vynaložených uznatelných výdajů,</w:t>
      </w:r>
    </w:p>
    <w:p w14:paraId="3313269D" w14:textId="0CF6CD6D" w:rsidR="00AC4165" w:rsidRPr="00537FD7" w:rsidRDefault="00AC4165" w:rsidP="00AC4165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537FD7">
        <w:rPr>
          <w:rFonts w:ascii="Arial" w:hAnsi="Arial" w:cs="Arial"/>
          <w:sz w:val="24"/>
          <w:szCs w:val="24"/>
        </w:rPr>
        <w:lastRenderedPageBreak/>
        <w:t>nákup věcí osobní spotřeby.</w:t>
      </w:r>
    </w:p>
    <w:p w14:paraId="0A790AE0" w14:textId="77777777" w:rsidR="00F35336" w:rsidRPr="00537FD7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0A2D817" w14:textId="77777777" w:rsidR="00F35336" w:rsidRPr="00537FD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Pr="00537FD7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02690702" w:rsidR="009A3DA5" w:rsidRPr="00537FD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C4165" w:rsidRPr="00537FD7">
        <w:rPr>
          <w:rFonts w:ascii="Arial" w:eastAsia="Times New Roman" w:hAnsi="Arial" w:cs="Arial"/>
          <w:sz w:val="24"/>
          <w:szCs w:val="24"/>
          <w:lang w:eastAsia="cs-CZ"/>
        </w:rPr>
        <w:t>31. 10. 2020.</w:t>
      </w:r>
    </w:p>
    <w:p w14:paraId="3C9258E6" w14:textId="0BE2E6F5" w:rsidR="009A3DA5" w:rsidRPr="00537FD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C4165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br/>
        <w:t>01. 01. 2020</w:t>
      </w:r>
      <w:r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5138D4B" w14:textId="4B59E298" w:rsidR="00CB5336" w:rsidRPr="00537FD7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821AA8" w:rsidRPr="00537FD7">
        <w:rPr>
          <w:rFonts w:ascii="Arial" w:eastAsia="Times New Roman" w:hAnsi="Arial" w:cs="Arial"/>
          <w:sz w:val="24"/>
          <w:szCs w:val="24"/>
          <w:lang w:eastAsia="cs-CZ"/>
        </w:rPr>
        <w:t>2 000 000,-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821AA8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dva miliony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C24FF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21AA8" w:rsidRPr="00537FD7">
        <w:rPr>
          <w:rFonts w:ascii="Arial" w:eastAsia="Times New Roman" w:hAnsi="Arial" w:cs="Arial"/>
          <w:sz w:val="24"/>
          <w:szCs w:val="24"/>
          <w:lang w:eastAsia="cs-CZ"/>
        </w:rPr>
        <w:t>87,5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37FD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37FD7">
        <w:rPr>
          <w:rFonts w:ascii="Arial" w:hAnsi="Arial" w:cs="Arial"/>
          <w:sz w:val="24"/>
          <w:szCs w:val="24"/>
        </w:rPr>
        <w:t xml:space="preserve">dotace </w:t>
      </w:r>
      <w:r w:rsidRPr="00537FD7">
        <w:rPr>
          <w:rFonts w:ascii="Arial" w:hAnsi="Arial" w:cs="Arial"/>
          <w:sz w:val="24"/>
          <w:szCs w:val="24"/>
        </w:rPr>
        <w:t xml:space="preserve">odpovídala </w:t>
      </w:r>
      <w:r w:rsidR="00BC7666" w:rsidRPr="00537FD7">
        <w:rPr>
          <w:rFonts w:ascii="Arial" w:hAnsi="Arial" w:cs="Arial"/>
          <w:sz w:val="24"/>
          <w:szCs w:val="24"/>
        </w:rPr>
        <w:t xml:space="preserve">nejvýše </w:t>
      </w:r>
      <w:r w:rsidR="00821AA8" w:rsidRPr="00537FD7">
        <w:rPr>
          <w:rFonts w:ascii="Arial" w:hAnsi="Arial" w:cs="Arial"/>
          <w:sz w:val="24"/>
          <w:szCs w:val="24"/>
        </w:rPr>
        <w:t>12,5</w:t>
      </w:r>
      <w:r w:rsidRPr="00537FD7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1F57E8FB" w:rsidR="00CB5336" w:rsidRPr="00537FD7" w:rsidRDefault="00CB533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5D738D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5D738D" w:rsidRPr="00537FD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 pro použití dotace</w:t>
      </w:r>
      <w:r w:rsidRPr="00537FD7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.</w:t>
      </w:r>
    </w:p>
    <w:p w14:paraId="01BF8BD0" w14:textId="33DE291A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 w:rsidRPr="00537FD7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 w:rsidRPr="00537FD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 w:rsidRPr="00537FD7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 w:rsidRPr="00537FD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 w:rsidRPr="00537FD7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I odst. 2 a 4 a 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1F3CF28D" w:rsidR="00C47FDD" w:rsidRPr="00696A9F" w:rsidRDefault="002D741E" w:rsidP="00C47F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C47FD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0C6ADBB8" w:rsidR="00A9730D" w:rsidRPr="00537FD7" w:rsidRDefault="009A3DA5" w:rsidP="005B38C6">
      <w:pPr>
        <w:numPr>
          <w:ilvl w:val="0"/>
          <w:numId w:val="34"/>
        </w:num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C47FDD" w:rsidRPr="00537FD7">
        <w:rPr>
          <w:rFonts w:ascii="Arial" w:eastAsia="Times New Roman" w:hAnsi="Arial" w:cs="Arial"/>
          <w:sz w:val="24"/>
          <w:szCs w:val="24"/>
          <w:lang w:eastAsia="cs-CZ"/>
        </w:rPr>
        <w:t>30. 11. 2020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537FD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3B2490" w:rsidRPr="00537F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5DBF3B8" w:rsidR="009460E4" w:rsidRPr="00537FD7" w:rsidRDefault="00F32B92" w:rsidP="009460E4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C47FDD" w:rsidRPr="00537FD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C47FDD" w:rsidRPr="00537FD7">
        <w:rPr>
          <w:rFonts w:ascii="Arial" w:hAnsi="Arial" w:cs="Arial"/>
          <w:b/>
          <w:sz w:val="24"/>
          <w:szCs w:val="24"/>
        </w:rPr>
        <w:t>https://www.olkraj.cz/vyuctovani-dotace-cl-4659.html</w:t>
      </w:r>
      <w:r w:rsidR="00A9730D" w:rsidRPr="00537FD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730D" w:rsidRPr="00537F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úplné.</w:t>
      </w:r>
      <w:r w:rsidR="00A9730D" w:rsidRPr="00537FD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537FD7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dary, vstupné</w:t>
      </w:r>
      <w:r w:rsidR="009460E4" w:rsidRPr="00537FD7">
        <w:rPr>
          <w:rFonts w:ascii="Arial" w:hAnsi="Arial" w:cs="Arial"/>
          <w:sz w:val="24"/>
          <w:szCs w:val="24"/>
        </w:rPr>
        <w:t>.</w:t>
      </w:r>
    </w:p>
    <w:p w14:paraId="2FDE39D2" w14:textId="3D8E4A91" w:rsidR="00822CBA" w:rsidRPr="00537FD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416175" w:rsidRPr="00537FD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416175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37FD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F11148E" w:rsidR="00A9730D" w:rsidRPr="00537FD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D35E8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37FD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37FD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37FD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537FD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611F031" w:rsidR="00A9730D" w:rsidRPr="00537FD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FAC365" w14:textId="77777777" w:rsidR="00A9730D" w:rsidRPr="00537FD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0C0CC6B" w:rsidR="00A9730D" w:rsidRPr="00537FD7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37F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kraj a popis propagace Olomouckého kraje ve smyslu čl. II odst. 10. této </w:t>
      </w:r>
      <w:proofErr w:type="spellStart"/>
      <w:proofErr w:type="gramStart"/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>smlouvy.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V</w:t>
      </w:r>
      <w:proofErr w:type="spell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příloze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zprávy je příjemce povinen předložit poskytovateli</w:t>
      </w:r>
      <w:r w:rsidR="009460E4" w:rsidRPr="00537F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z průběhu akce, fotodokumentaci splnění povinné propagace poskytovatele a užití jeho loga dle čl. II odst. 10 této smlouvy</w:t>
      </w:r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093FEA38" w:rsidR="00A9730D" w:rsidRPr="00537FD7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84EF3" w:rsidRPr="00537FD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37F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537FD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537FD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</w:t>
      </w:r>
      <w:r w:rsidR="00F62EE1" w:rsidRPr="00537FD7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37FD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537F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37F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7FD7" w:rsidRPr="00537FD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37FD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Pr="00537FD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Pr="00537FD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37FD7" w:rsidRPr="00537FD7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37FD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37FD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FD7" w:rsidRPr="00537FD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77777777" w:rsidR="00DC1ABA" w:rsidRPr="00537FD7" w:rsidRDefault="00DC1ABA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537FD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FD7" w:rsidRPr="00537FD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AE779B0" w:rsidR="009A3DA5" w:rsidRPr="00537FD7" w:rsidRDefault="009A3DA5" w:rsidP="00DC1AB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DC1ABA"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Pr="00537FD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37FD7" w:rsidRPr="00537FD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37FD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37FD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FD7" w:rsidRPr="00537FD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37FD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37FD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37FD7" w:rsidRPr="00537FD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537FD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37FD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537FD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537FD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537FD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7FD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37FD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E880C2" w:rsidR="009A3DA5" w:rsidRPr="00537F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v roce kdy obdržel dotaci (2020)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. V případě, že je vratka realizována následující rok (2021) pak se použije příjmový účet </w:t>
      </w:r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gramStart"/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t>č.  27</w:t>
      </w:r>
      <w:proofErr w:type="gramEnd"/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t>-4228320287/0100</w:t>
      </w:r>
      <w:r w:rsidR="00687E13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537FD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460E4" w:rsidRPr="00537FD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537FD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537FD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2785606" w:rsidR="00836AA2" w:rsidRPr="00537FD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460E4" w:rsidRPr="00537FD7">
        <w:rPr>
          <w:rFonts w:ascii="Arial" w:eastAsia="Times New Roman" w:hAnsi="Arial" w:cs="Arial"/>
          <w:sz w:val="24"/>
          <w:szCs w:val="24"/>
          <w:lang w:eastAsia="cs-CZ"/>
        </w:rPr>
        <w:t>od nabytí účinnosti smlouvy do 30. 11. 2020</w:t>
      </w:r>
      <w:r w:rsidR="00F41232" w:rsidRPr="00537FD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</w:t>
      </w:r>
      <w:r w:rsidR="00821AA8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(výstaviště Flora Olomouc)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, ve kterém je realizována podpořená akce</w:t>
      </w:r>
      <w:r w:rsidR="00725B3A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F41232" w:rsidRPr="00537FD7">
        <w:rPr>
          <w:rFonts w:ascii="Arial" w:eastAsia="Times New Roman" w:hAnsi="Arial" w:cs="Arial"/>
          <w:sz w:val="24"/>
          <w:szCs w:val="24"/>
          <w:lang w:eastAsia="cs-CZ"/>
        </w:rPr>
        <w:t>jejího konání.</w:t>
      </w:r>
      <w:r w:rsidRPr="00537FD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37FD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37FD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37FD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37FD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37F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37FD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37FD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37FD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314DB8D3" w:rsidR="00F30948" w:rsidRPr="00537FD7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1BA2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 w:rsidR="003936AA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55980C2B" w:rsidR="00FB4119" w:rsidRPr="00537FD7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poskytování individuálních dotací z rozpočtu Olomouckého kraje v roce 20</w:t>
      </w:r>
      <w:r w:rsidR="003936AA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 w:rsidR="006154E9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dále pak se změn</w:t>
      </w:r>
      <w:r w:rsidR="00430950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37FD7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37F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37FD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21059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059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1059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21059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7940EF4" w:rsidR="00170EC7" w:rsidRPr="0021059F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059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1059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059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21059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8E4108E" w:rsidR="00170EC7" w:rsidRPr="0021059F" w:rsidRDefault="005B180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21059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</w:t>
      </w:r>
      <w:r w:rsidRPr="00111EC3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informace, jak podporu de </w:t>
      </w:r>
      <w:proofErr w:type="spellStart"/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105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4071A631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B6E49AC" w:rsidR="00A62D21" w:rsidRPr="00537FD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FD7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2F663360" w:rsidR="00B96E96" w:rsidRPr="00537FD7" w:rsidRDefault="00E25D52" w:rsidP="0021059F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537FD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537F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240E3FE3" w:rsidR="009A3DA5" w:rsidRPr="00537FD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37FD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37F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Pr="00537FD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37FD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37F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C02E755" w:rsidR="009A3DA5" w:rsidRPr="00537FD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521D73" w:rsidRPr="00537FD7">
        <w:rPr>
          <w:rFonts w:ascii="Arial" w:eastAsia="Times New Roman" w:hAnsi="Arial" w:cs="Arial"/>
          <w:sz w:val="24"/>
          <w:szCs w:val="24"/>
          <w:lang w:eastAsia="cs-CZ"/>
        </w:rPr>
        <w:t>20. 04. 2020.</w:t>
      </w:r>
    </w:p>
    <w:p w14:paraId="3C925923" w14:textId="77777777" w:rsidR="009A3DA5" w:rsidRPr="00537FD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6027D4E" w:rsidR="009A3DA5" w:rsidRPr="00537FD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37FD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37FD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37FD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2105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105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68089968" w:rsidR="009A3DA5" w:rsidRPr="0021059F" w:rsidRDefault="0021059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Milan Klimeš                              </w:t>
            </w:r>
          </w:p>
          <w:p w14:paraId="22F2EF9D" w14:textId="2F0BA2D7" w:rsidR="0021059F" w:rsidRPr="0021059F" w:rsidRDefault="0021059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21059F" w:rsidRDefault="009A3DA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07799F6F" w:rsidR="0021059F" w:rsidRPr="002105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9E410F9" w14:textId="77777777" w:rsidR="009A3DA5" w:rsidRPr="0021059F" w:rsidRDefault="0021059F" w:rsidP="002105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RNDr. Jiří Zbořil</w:t>
            </w:r>
          </w:p>
          <w:p w14:paraId="5FE61C05" w14:textId="58474B4B" w:rsidR="0021059F" w:rsidRPr="0021059F" w:rsidRDefault="0021059F" w:rsidP="002105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105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místopředseda myslivecké rady</w:t>
            </w:r>
          </w:p>
        </w:tc>
      </w:tr>
    </w:tbl>
    <w:p w14:paraId="265F7223" w14:textId="0825C819" w:rsidR="00537FD7" w:rsidRDefault="00537FD7">
      <w:pPr>
        <w:rPr>
          <w:rFonts w:ascii="Arial" w:hAnsi="Arial" w:cs="Arial"/>
          <w:bCs/>
        </w:rPr>
      </w:pPr>
    </w:p>
    <w:p w14:paraId="18E4AFB6" w14:textId="77777777" w:rsidR="00537FD7" w:rsidRPr="00537FD7" w:rsidRDefault="00537FD7" w:rsidP="00537FD7">
      <w:pPr>
        <w:rPr>
          <w:rFonts w:ascii="Arial" w:hAnsi="Arial" w:cs="Arial"/>
        </w:rPr>
      </w:pPr>
    </w:p>
    <w:p w14:paraId="5C2B34B0" w14:textId="77777777" w:rsidR="00537FD7" w:rsidRPr="00537FD7" w:rsidRDefault="00537FD7" w:rsidP="00537FD7">
      <w:pPr>
        <w:rPr>
          <w:rFonts w:ascii="Arial" w:hAnsi="Arial" w:cs="Arial"/>
        </w:rPr>
      </w:pPr>
    </w:p>
    <w:p w14:paraId="5B91BD0E" w14:textId="77777777" w:rsidR="00537FD7" w:rsidRPr="00537FD7" w:rsidRDefault="00537FD7" w:rsidP="00537FD7">
      <w:pPr>
        <w:rPr>
          <w:rFonts w:ascii="Arial" w:hAnsi="Arial" w:cs="Arial"/>
        </w:rPr>
      </w:pPr>
    </w:p>
    <w:p w14:paraId="2CF5DCE5" w14:textId="77777777" w:rsidR="00537FD7" w:rsidRPr="00537FD7" w:rsidRDefault="00537FD7" w:rsidP="00537FD7">
      <w:pPr>
        <w:rPr>
          <w:rFonts w:ascii="Arial" w:hAnsi="Arial" w:cs="Arial"/>
        </w:rPr>
      </w:pPr>
    </w:p>
    <w:p w14:paraId="2C7A1145" w14:textId="3F92B096" w:rsidR="00537FD7" w:rsidRDefault="00537FD7">
      <w:pPr>
        <w:rPr>
          <w:rFonts w:ascii="Arial" w:hAnsi="Arial" w:cs="Arial"/>
        </w:rPr>
      </w:pPr>
    </w:p>
    <w:p w14:paraId="798D4980" w14:textId="02702927" w:rsidR="00537FD7" w:rsidRDefault="00537FD7">
      <w:pPr>
        <w:rPr>
          <w:rFonts w:ascii="Arial" w:hAnsi="Arial" w:cs="Arial"/>
        </w:rPr>
      </w:pPr>
    </w:p>
    <w:p w14:paraId="5FE8DBF6" w14:textId="0FE83C6F" w:rsidR="009B0F59" w:rsidRDefault="009B0F59">
      <w:pPr>
        <w:rPr>
          <w:rFonts w:ascii="Arial" w:hAnsi="Arial" w:cs="Arial"/>
          <w:bCs/>
        </w:rPr>
      </w:pPr>
    </w:p>
    <w:sectPr w:rsidR="009B0F59" w:rsidSect="007B0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6513" w14:textId="77777777" w:rsidR="00D9253F" w:rsidRDefault="00D9253F" w:rsidP="00D40C40">
      <w:r>
        <w:separator/>
      </w:r>
    </w:p>
  </w:endnote>
  <w:endnote w:type="continuationSeparator" w:id="0">
    <w:p w14:paraId="624B6A0B" w14:textId="77777777" w:rsidR="00D9253F" w:rsidRDefault="00D9253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452E" w14:textId="77777777" w:rsidR="00E539DF" w:rsidRDefault="00E539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B2FE" w14:textId="1D905564" w:rsidR="001412B2" w:rsidRPr="006F372A" w:rsidRDefault="007B0C80" w:rsidP="001412B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412B2" w:rsidRPr="006F372A">
      <w:rPr>
        <w:rFonts w:ascii="Arial" w:hAnsi="Arial" w:cs="Arial"/>
        <w:i/>
        <w:sz w:val="20"/>
        <w:szCs w:val="20"/>
      </w:rPr>
      <w:t xml:space="preserve"> Olomouckého kraje </w:t>
    </w:r>
    <w:r w:rsidR="00E539DF" w:rsidRPr="00E539DF">
      <w:rPr>
        <w:rFonts w:ascii="Arial" w:hAnsi="Arial" w:cs="Arial"/>
        <w:i/>
        <w:sz w:val="20"/>
        <w:szCs w:val="20"/>
      </w:rPr>
      <w:t>- 20. zasedání</w:t>
    </w:r>
    <w:r w:rsidR="001412B2" w:rsidRPr="006F372A">
      <w:rPr>
        <w:rFonts w:ascii="Arial" w:hAnsi="Arial" w:cs="Arial"/>
        <w:i/>
        <w:sz w:val="20"/>
        <w:szCs w:val="20"/>
      </w:rPr>
      <w:tab/>
    </w:r>
    <w:r w:rsidR="001412B2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1412B2" w:rsidRPr="006F372A">
      <w:rPr>
        <w:rFonts w:ascii="Arial" w:hAnsi="Arial" w:cs="Arial"/>
        <w:i/>
        <w:sz w:val="20"/>
        <w:szCs w:val="20"/>
      </w:rPr>
      <w:fldChar w:fldCharType="begin"/>
    </w:r>
    <w:r w:rsidR="001412B2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1412B2" w:rsidRPr="006F372A">
      <w:rPr>
        <w:rFonts w:ascii="Arial" w:hAnsi="Arial" w:cs="Arial"/>
        <w:i/>
        <w:sz w:val="20"/>
        <w:szCs w:val="20"/>
      </w:rPr>
      <w:fldChar w:fldCharType="separate"/>
    </w:r>
    <w:r w:rsidR="00E539DF">
      <w:rPr>
        <w:rFonts w:ascii="Arial" w:hAnsi="Arial" w:cs="Arial"/>
        <w:i/>
        <w:noProof/>
        <w:sz w:val="20"/>
        <w:szCs w:val="20"/>
      </w:rPr>
      <w:t>31</w:t>
    </w:r>
    <w:r w:rsidR="001412B2" w:rsidRPr="006F372A">
      <w:rPr>
        <w:rFonts w:ascii="Arial" w:hAnsi="Arial" w:cs="Arial"/>
        <w:i/>
        <w:sz w:val="20"/>
        <w:szCs w:val="20"/>
      </w:rPr>
      <w:fldChar w:fldCharType="end"/>
    </w:r>
    <w:r w:rsidR="001412B2" w:rsidRPr="006F372A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38</w:t>
    </w:r>
    <w:r w:rsidR="001412B2" w:rsidRPr="006F372A">
      <w:rPr>
        <w:rFonts w:ascii="Arial" w:hAnsi="Arial" w:cs="Arial"/>
        <w:i/>
        <w:sz w:val="20"/>
        <w:szCs w:val="20"/>
      </w:rPr>
      <w:t xml:space="preserve">) </w:t>
    </w:r>
  </w:p>
  <w:p w14:paraId="3E3A6475" w14:textId="306B8D25" w:rsidR="001412B2" w:rsidRPr="006F372A" w:rsidRDefault="00E539DF" w:rsidP="001412B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bookmarkStart w:id="0" w:name="_GoBack"/>
    <w:bookmarkEnd w:id="0"/>
    <w:r w:rsidR="001412B2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612CC075" w14:textId="14730E85" w:rsidR="001412B2" w:rsidRPr="006F372A" w:rsidRDefault="001412B2" w:rsidP="001412B2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="00D60DDA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>
      <w:rPr>
        <w:rFonts w:ascii="Arial" w:hAnsi="Arial" w:cs="Arial"/>
        <w:i/>
        <w:sz w:val="20"/>
        <w:szCs w:val="20"/>
      </w:rPr>
      <w:t xml:space="preserve"> </w:t>
    </w:r>
    <w:proofErr w:type="gramStart"/>
    <w:r>
      <w:rPr>
        <w:rFonts w:ascii="Arial" w:hAnsi="Arial" w:cs="Arial"/>
        <w:i/>
        <w:sz w:val="20"/>
        <w:szCs w:val="20"/>
      </w:rPr>
      <w:t xml:space="preserve">ČMMJ, </w:t>
    </w:r>
    <w:proofErr w:type="spellStart"/>
    <w:r>
      <w:rPr>
        <w:rFonts w:ascii="Arial" w:hAnsi="Arial" w:cs="Arial"/>
        <w:i/>
        <w:sz w:val="20"/>
        <w:szCs w:val="20"/>
      </w:rPr>
      <w:t>z.s</w:t>
    </w:r>
    <w:proofErr w:type="spellEnd"/>
    <w:r>
      <w:rPr>
        <w:rFonts w:ascii="Arial" w:hAnsi="Arial" w:cs="Arial"/>
        <w:i/>
        <w:sz w:val="20"/>
        <w:szCs w:val="20"/>
      </w:rPr>
      <w:t>.</w:t>
    </w:r>
    <w:proofErr w:type="gramEnd"/>
    <w:r>
      <w:rPr>
        <w:rFonts w:ascii="Arial" w:hAnsi="Arial" w:cs="Arial"/>
        <w:i/>
        <w:sz w:val="20"/>
        <w:szCs w:val="20"/>
      </w:rPr>
      <w:t xml:space="preserve"> –OMS Olomouc</w:t>
    </w:r>
  </w:p>
  <w:p w14:paraId="0CE02E2F" w14:textId="77777777" w:rsidR="001412B2" w:rsidRPr="00BD19E1" w:rsidRDefault="001412B2" w:rsidP="001412B2">
    <w:pPr>
      <w:pStyle w:val="Zpat"/>
      <w:ind w:left="0" w:firstLine="0"/>
    </w:pPr>
  </w:p>
  <w:p w14:paraId="37BA5330" w14:textId="709E906E" w:rsidR="00D20B9A" w:rsidRPr="001412B2" w:rsidRDefault="00D20B9A" w:rsidP="001412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ED414" w14:textId="77777777" w:rsidR="00D9253F" w:rsidRDefault="00D9253F" w:rsidP="00D40C40">
      <w:r>
        <w:separator/>
      </w:r>
    </w:p>
  </w:footnote>
  <w:footnote w:type="continuationSeparator" w:id="0">
    <w:p w14:paraId="23F7E522" w14:textId="77777777" w:rsidR="00D9253F" w:rsidRDefault="00D9253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493" w14:textId="77777777" w:rsidR="00E539DF" w:rsidRDefault="00E539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8C1B" w14:textId="2FD805DE" w:rsidR="00537FD7" w:rsidRPr="00537FD7" w:rsidRDefault="00537FD7">
    <w:pPr>
      <w:pStyle w:val="Zhlav"/>
      <w:rPr>
        <w:rFonts w:ascii="Arial" w:hAnsi="Arial" w:cs="Arial"/>
        <w:sz w:val="24"/>
        <w:szCs w:val="24"/>
      </w:rPr>
    </w:pPr>
    <w:r w:rsidRPr="00537FD7">
      <w:rPr>
        <w:rFonts w:ascii="Arial" w:hAnsi="Arial" w:cs="Arial"/>
        <w:sz w:val="24"/>
        <w:szCs w:val="24"/>
      </w:rPr>
      <w:t xml:space="preserve">Příloha č. </w:t>
    </w:r>
    <w:r w:rsidR="00D60DDA">
      <w:rPr>
        <w:rFonts w:ascii="Arial" w:hAnsi="Arial" w:cs="Arial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5261" w14:textId="77777777" w:rsidR="00E539DF" w:rsidRDefault="00E539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2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1B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53E8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1EC3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2B2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801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59F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3F5A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15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1D73"/>
    <w:rsid w:val="00522B33"/>
    <w:rsid w:val="005258AA"/>
    <w:rsid w:val="00525B5C"/>
    <w:rsid w:val="00525FAE"/>
    <w:rsid w:val="00530A93"/>
    <w:rsid w:val="005333B5"/>
    <w:rsid w:val="005349A1"/>
    <w:rsid w:val="00536392"/>
    <w:rsid w:val="00537FD7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48DE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5C7"/>
    <w:rsid w:val="005D21ED"/>
    <w:rsid w:val="005D4D86"/>
    <w:rsid w:val="005D604E"/>
    <w:rsid w:val="005D696C"/>
    <w:rsid w:val="005D738D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2AF6"/>
    <w:rsid w:val="00684C20"/>
    <w:rsid w:val="00684EF3"/>
    <w:rsid w:val="00685285"/>
    <w:rsid w:val="00687E13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0C8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AA8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47B1F"/>
    <w:rsid w:val="008525B2"/>
    <w:rsid w:val="008556B1"/>
    <w:rsid w:val="0085615A"/>
    <w:rsid w:val="00856F2E"/>
    <w:rsid w:val="0086634E"/>
    <w:rsid w:val="00866505"/>
    <w:rsid w:val="00871B2E"/>
    <w:rsid w:val="008751B8"/>
    <w:rsid w:val="00876F7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C74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0E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623E"/>
    <w:rsid w:val="00A30281"/>
    <w:rsid w:val="00A30F23"/>
    <w:rsid w:val="00A3161F"/>
    <w:rsid w:val="00A31818"/>
    <w:rsid w:val="00A318C8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4165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4F3"/>
    <w:rsid w:val="00B45773"/>
    <w:rsid w:val="00B45D7E"/>
    <w:rsid w:val="00B460CA"/>
    <w:rsid w:val="00B470F4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47FDD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0DDA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7207"/>
    <w:rsid w:val="00DA0465"/>
    <w:rsid w:val="00DA2B55"/>
    <w:rsid w:val="00DA365F"/>
    <w:rsid w:val="00DA43B2"/>
    <w:rsid w:val="00DB3240"/>
    <w:rsid w:val="00DB68A2"/>
    <w:rsid w:val="00DC038B"/>
    <w:rsid w:val="00DC039D"/>
    <w:rsid w:val="00DC039E"/>
    <w:rsid w:val="00DC1ABA"/>
    <w:rsid w:val="00DC473B"/>
    <w:rsid w:val="00DC5C4C"/>
    <w:rsid w:val="00DD4564"/>
    <w:rsid w:val="00DD6346"/>
    <w:rsid w:val="00DE0950"/>
    <w:rsid w:val="00DE14CA"/>
    <w:rsid w:val="00DE16F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073D4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9DF"/>
    <w:rsid w:val="00E53FD1"/>
    <w:rsid w:val="00E54874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123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2EE1"/>
    <w:rsid w:val="00F630A7"/>
    <w:rsid w:val="00F63419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2E33-0CB7-45BE-B5DC-0DB2406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2765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15</cp:revision>
  <cp:lastPrinted>2019-08-28T06:59:00Z</cp:lastPrinted>
  <dcterms:created xsi:type="dcterms:W3CDTF">2020-03-12T08:12:00Z</dcterms:created>
  <dcterms:modified xsi:type="dcterms:W3CDTF">2020-04-07T08:53:00Z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