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E537C6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Default="00B97423">
            <w:pPr>
              <w:pStyle w:val="Hlavikablogo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483514918" r:id="rId10"/>
              </w:pict>
            </w:r>
          </w:p>
        </w:tc>
        <w:tc>
          <w:tcPr>
            <w:tcW w:w="7284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5F3BA8">
              <w:t>1</w:t>
            </w:r>
            <w:r w:rsidR="005C33FA">
              <w:t>1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5C33FA">
            <w:pPr>
              <w:pStyle w:val="Vbornadpis"/>
            </w:pPr>
            <w:r>
              <w:t xml:space="preserve">ze dne </w:t>
            </w:r>
            <w:r w:rsidR="005C33FA">
              <w:t>19</w:t>
            </w:r>
            <w:r>
              <w:t xml:space="preserve">. </w:t>
            </w:r>
            <w:r w:rsidR="0074191F">
              <w:t>l</w:t>
            </w:r>
            <w:r w:rsidR="005C33FA">
              <w:t>edna</w:t>
            </w:r>
            <w:r>
              <w:t xml:space="preserve"> 201</w:t>
            </w:r>
            <w:r w:rsidR="005C33FA">
              <w:t>5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Default="005C33FA">
            <w:pPr>
              <w:pStyle w:val="Vborptomnitext"/>
            </w:pPr>
          </w:p>
          <w:p w:rsidR="00E537C6" w:rsidRDefault="00E537C6">
            <w:pPr>
              <w:pStyle w:val="Vborptomnitext"/>
            </w:pPr>
            <w:r>
              <w:t>Bc. Vladimír Urbánek, DiS.</w:t>
            </w:r>
          </w:p>
          <w:p w:rsidR="005C33FA" w:rsidRDefault="005C33FA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 Přemysl Dvorský, Ph.D.</w:t>
            </w:r>
          </w:p>
          <w:p w:rsidR="005C33FA" w:rsidRDefault="005C33FA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Jiří Herinek</w:t>
            </w:r>
          </w:p>
          <w:p w:rsidR="005C33FA" w:rsidRDefault="005C33FA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Jiří Krátký</w:t>
            </w:r>
          </w:p>
          <w:p w:rsidR="005C33FA" w:rsidRDefault="005C33FA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Mgr. Martin Kučera, MPA</w:t>
            </w:r>
          </w:p>
          <w:p w:rsidR="005C33FA" w:rsidRDefault="005C33FA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Pavel Martínek</w:t>
            </w:r>
          </w:p>
          <w:p w:rsidR="005C33FA" w:rsidRDefault="005C33FA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Michal Merta</w:t>
            </w:r>
          </w:p>
          <w:p w:rsidR="005C33FA" w:rsidRDefault="005C33FA" w:rsidP="005C33FA">
            <w:pPr>
              <w:pStyle w:val="Vborptomnitext"/>
            </w:pPr>
            <w:r>
              <w:t>RSDr. Josef Nekl</w:t>
            </w:r>
          </w:p>
          <w:p w:rsidR="005C33FA" w:rsidRDefault="005C33FA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Marek Zapletal</w:t>
            </w:r>
          </w:p>
          <w:p w:rsidR="005C33FA" w:rsidRDefault="005C33FA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 Šárka Zapletalová</w:t>
            </w:r>
          </w:p>
          <w:p w:rsidR="005C33FA" w:rsidRDefault="005C33FA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  <w:r>
              <w:t>Omluveni:</w:t>
            </w:r>
            <w:r>
              <w:rPr>
                <w:b w:val="0"/>
              </w:rPr>
              <w:t xml:space="preserve"> </w:t>
            </w:r>
          </w:p>
          <w:p w:rsidR="005C33FA" w:rsidRDefault="005C33FA" w:rsidP="005C33FA">
            <w:pPr>
              <w:pStyle w:val="Vborptomnitext"/>
            </w:pPr>
            <w:r>
              <w:t>Ing. Jaromír Czmero</w:t>
            </w:r>
          </w:p>
          <w:p w:rsidR="005C33FA" w:rsidRDefault="005C33FA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Ivana Dvořáková</w:t>
            </w:r>
          </w:p>
          <w:p w:rsidR="005C33FA" w:rsidRDefault="005C33FA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 Petr Hanuška</w:t>
            </w:r>
          </w:p>
          <w:p w:rsidR="00AF0057" w:rsidRDefault="00AF0057" w:rsidP="00AF005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 Dušan Hluzín</w:t>
            </w:r>
          </w:p>
          <w:p w:rsidR="00AF0057" w:rsidRDefault="00AF0057" w:rsidP="00AF0057">
            <w:pPr>
              <w:pStyle w:val="Vborptomnitext"/>
            </w:pPr>
            <w:r>
              <w:t>Ing. Kateřina Marková</w:t>
            </w:r>
          </w:p>
          <w:p w:rsidR="00AF0057" w:rsidRDefault="00AF0057" w:rsidP="00AF005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Václav Šmíd</w:t>
            </w:r>
          </w:p>
          <w:p w:rsidR="005C33FA" w:rsidRDefault="005C33FA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 Arch Miloslav Tempír</w:t>
            </w:r>
          </w:p>
          <w:p w:rsidR="00AF0057" w:rsidRDefault="00E537C6" w:rsidP="00AF005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Zdeněk Vahala</w:t>
            </w:r>
          </w:p>
          <w:p w:rsidR="006B0A88" w:rsidRDefault="006B0A88" w:rsidP="006B0A8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 Jan Závěšický</w:t>
            </w:r>
            <w:r>
              <w:t xml:space="preserve"> 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Hosté: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0B3111" w:rsidRDefault="000B3111">
            <w:pPr>
              <w:pStyle w:val="Vborptomnitext"/>
            </w:pPr>
            <w:r w:rsidRPr="000B3111">
              <w:t>Bc. Pavel Pustina</w:t>
            </w:r>
          </w:p>
          <w:p w:rsidR="000B3111" w:rsidRDefault="000B3111">
            <w:pPr>
              <w:pStyle w:val="Vborptomnitext"/>
              <w:rPr>
                <w:b/>
              </w:rPr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88134E" w:rsidRDefault="0088134E" w:rsidP="00E537C6">
      <w:pPr>
        <w:pStyle w:val="Vborprogram"/>
        <w:spacing w:before="360"/>
      </w:pPr>
    </w:p>
    <w:p w:rsidR="00562481" w:rsidRDefault="00562481" w:rsidP="00E537C6">
      <w:pPr>
        <w:pStyle w:val="Vborprogram"/>
        <w:spacing w:before="360"/>
      </w:pPr>
    </w:p>
    <w:p w:rsidR="00562481" w:rsidRDefault="00562481" w:rsidP="00E537C6">
      <w:pPr>
        <w:pStyle w:val="Vborprogram"/>
        <w:spacing w:before="360"/>
      </w:pPr>
    </w:p>
    <w:p w:rsidR="00E537C6" w:rsidRDefault="00E537C6" w:rsidP="00E537C6">
      <w:pPr>
        <w:pStyle w:val="Vborprogram"/>
        <w:spacing w:before="360"/>
      </w:pPr>
      <w:r>
        <w:lastRenderedPageBreak/>
        <w:t>Program:</w:t>
      </w:r>
    </w:p>
    <w:p w:rsidR="00E537C6" w:rsidRPr="00E537C6" w:rsidRDefault="00E537C6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 w:rsidRPr="00E537C6">
        <w:rPr>
          <w:rFonts w:ascii="Arial" w:hAnsi="Arial"/>
          <w:noProof/>
          <w:sz w:val="24"/>
          <w:szCs w:val="20"/>
          <w:lang w:eastAsia="cs-CZ"/>
        </w:rPr>
        <w:t>Kontrola usnesení z minulého jednání, schválení programu jednání</w:t>
      </w:r>
    </w:p>
    <w:p w:rsidR="00E537C6" w:rsidRPr="00E537C6" w:rsidRDefault="006B0A88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I</w:t>
      </w:r>
      <w:r w:rsidR="00E537C6" w:rsidRPr="00E537C6">
        <w:rPr>
          <w:rFonts w:ascii="Arial" w:hAnsi="Arial"/>
          <w:noProof/>
          <w:sz w:val="24"/>
          <w:szCs w:val="20"/>
          <w:lang w:eastAsia="cs-CZ"/>
        </w:rPr>
        <w:t>nformace z jednání orgánů kraje</w:t>
      </w:r>
    </w:p>
    <w:p w:rsidR="005C33FA" w:rsidRDefault="005C33FA" w:rsidP="005C33FA">
      <w:pPr>
        <w:pStyle w:val="Znak2odsazen1text"/>
        <w:outlineLvl w:val="0"/>
        <w:rPr>
          <w:szCs w:val="24"/>
        </w:rPr>
      </w:pPr>
      <w:r w:rsidRPr="005C33FA">
        <w:rPr>
          <w:szCs w:val="24"/>
        </w:rPr>
        <w:t>Aktuální stav příprav Olomouckého kraje na kohezní politiku EU</w:t>
      </w:r>
    </w:p>
    <w:p w:rsidR="005C33FA" w:rsidRDefault="005C33FA" w:rsidP="005C33FA">
      <w:pPr>
        <w:pStyle w:val="Znak2odsazen1text"/>
        <w:outlineLvl w:val="0"/>
        <w:rPr>
          <w:szCs w:val="24"/>
        </w:rPr>
      </w:pPr>
      <w:r w:rsidRPr="005C33FA">
        <w:rPr>
          <w:szCs w:val="24"/>
        </w:rPr>
        <w:t>Příprava Akčního plánu regionální přílohy RIS3 Olomouckého kraje na období 2015-2017</w:t>
      </w:r>
    </w:p>
    <w:p w:rsidR="00E537C6" w:rsidRPr="005C33FA" w:rsidRDefault="00E537C6" w:rsidP="005C33FA">
      <w:pPr>
        <w:pStyle w:val="Znak2odsazen1text"/>
        <w:outlineLvl w:val="0"/>
        <w:rPr>
          <w:szCs w:val="24"/>
        </w:rPr>
      </w:pPr>
      <w:r w:rsidRPr="005C33FA">
        <w:rPr>
          <w:szCs w:val="24"/>
        </w:rPr>
        <w:t>Různé</w:t>
      </w:r>
    </w:p>
    <w:p w:rsidR="00E537C6" w:rsidRDefault="00E537C6" w:rsidP="00E537C6">
      <w:pPr>
        <w:pStyle w:val="Vborprogram"/>
        <w:spacing w:before="240" w:after="120"/>
        <w:rPr>
          <w:sz w:val="4"/>
        </w:rPr>
      </w:pPr>
    </w:p>
    <w:p w:rsidR="00E537C6" w:rsidRDefault="00E537C6" w:rsidP="00E537C6">
      <w:pPr>
        <w:pStyle w:val="Vborprogram"/>
        <w:spacing w:before="240" w:after="120"/>
      </w:pPr>
      <w:r>
        <w:t>Zápis:</w:t>
      </w:r>
    </w:p>
    <w:p w:rsidR="00E537C6" w:rsidRDefault="00E537C6" w:rsidP="0088134E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hanging="1326"/>
        <w:rPr>
          <w:b/>
        </w:rPr>
      </w:pPr>
      <w:r>
        <w:rPr>
          <w:b/>
        </w:rPr>
        <w:t>Úvod, kontrola usnesení, schválení programu jednání</w:t>
      </w:r>
    </w:p>
    <w:p w:rsidR="00E537C6" w:rsidRDefault="00E537C6" w:rsidP="00350EF7">
      <w:pPr>
        <w:pStyle w:val="Vbornzevusnesen"/>
        <w:tabs>
          <w:tab w:val="num" w:pos="0"/>
        </w:tabs>
        <w:ind w:left="-426" w:firstLine="0"/>
        <w:rPr>
          <w:b w:val="0"/>
        </w:rPr>
      </w:pPr>
      <w:r>
        <w:rPr>
          <w:b w:val="0"/>
        </w:rPr>
        <w:t xml:space="preserve">Úvodem zasedání přivítal předseda Výboru Bc. Vladimír Urbánek, DiS. všechny přítomné a konstatoval usnášeníschopnost shromáždění. Po kontrole usnesení z minulého zasedání </w:t>
      </w:r>
      <w:r w:rsidR="00C0250E">
        <w:rPr>
          <w:b w:val="0"/>
        </w:rPr>
        <w:t xml:space="preserve">a schválení připraveného programu jednání </w:t>
      </w:r>
      <w:r>
        <w:rPr>
          <w:b w:val="0"/>
        </w:rPr>
        <w:t xml:space="preserve">předal slovo vedoucí oddělení regionálního rozvoje Ing. Martě Novotné.  </w:t>
      </w:r>
    </w:p>
    <w:p w:rsidR="00020D24" w:rsidRDefault="00020D24" w:rsidP="00350EF7">
      <w:pPr>
        <w:pStyle w:val="Vbornzevusnesen"/>
        <w:tabs>
          <w:tab w:val="num" w:pos="0"/>
        </w:tabs>
        <w:ind w:left="-426" w:firstLine="0"/>
        <w:rPr>
          <w:b w:val="0"/>
        </w:rPr>
      </w:pPr>
      <w:bookmarkStart w:id="0" w:name="_GoBack"/>
      <w:bookmarkEnd w:id="0"/>
    </w:p>
    <w:p w:rsidR="00E537C6" w:rsidRPr="0088134E" w:rsidRDefault="006B0A88" w:rsidP="0088134E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hanging="1326"/>
        <w:rPr>
          <w:b/>
        </w:rPr>
      </w:pPr>
      <w:r w:rsidRPr="0088134E">
        <w:rPr>
          <w:b/>
        </w:rPr>
        <w:t>I</w:t>
      </w:r>
      <w:r w:rsidR="00E537C6" w:rsidRPr="0088134E">
        <w:rPr>
          <w:b/>
        </w:rPr>
        <w:t>nformace z jednání orgánů kraje</w:t>
      </w:r>
    </w:p>
    <w:p w:rsidR="009559C8" w:rsidRDefault="00D975F1" w:rsidP="009559C8">
      <w:pPr>
        <w:pStyle w:val="slo1text"/>
        <w:tabs>
          <w:tab w:val="left" w:pos="-426"/>
        </w:tabs>
        <w:ind w:left="-426"/>
      </w:pPr>
      <w:r>
        <w:tab/>
      </w:r>
      <w:r w:rsidR="00E537C6">
        <w:t>Ing. Novotná seznámila členy Výboru s aktuálními informacemi z jednání ROK a</w:t>
      </w:r>
      <w:r w:rsidR="0088134E">
        <w:t> </w:t>
      </w:r>
      <w:r w:rsidR="00E537C6">
        <w:t>ZOK. Od posledního jednání Výboru se konal</w:t>
      </w:r>
      <w:r w:rsidR="00A14130">
        <w:t>o</w:t>
      </w:r>
      <w:r w:rsidR="00E537C6">
        <w:t xml:space="preserve"> </w:t>
      </w:r>
      <w:r w:rsidR="00A14130">
        <w:t>5</w:t>
      </w:r>
      <w:r w:rsidR="00E537C6">
        <w:t xml:space="preserve"> jednání ROK a 1</w:t>
      </w:r>
      <w:r w:rsidR="00A14130">
        <w:t> </w:t>
      </w:r>
      <w:r w:rsidR="00E537C6">
        <w:t>zasedání ZOK. Projednán tak byl například</w:t>
      </w:r>
      <w:r w:rsidR="004266DF">
        <w:t xml:space="preserve"> </w:t>
      </w:r>
      <w:r w:rsidR="009559C8">
        <w:t xml:space="preserve">materiál k projektu tzv. Evropských domů v jednotlivých krajích ČR. </w:t>
      </w:r>
      <w:r w:rsidR="00C0250E">
        <w:t>Kraje budou</w:t>
      </w:r>
      <w:r w:rsidR="009559C8">
        <w:t xml:space="preserve"> </w:t>
      </w:r>
      <w:r w:rsidR="00C0250E">
        <w:t>provozovat domy pro zpro</w:t>
      </w:r>
      <w:r w:rsidR="009559C8">
        <w:t xml:space="preserve">středkovatele evropských dotací </w:t>
      </w:r>
      <w:r w:rsidR="00C0250E">
        <w:t>v ČR</w:t>
      </w:r>
      <w:r w:rsidR="009559C8">
        <w:t xml:space="preserve">. Za Olomoucký kraj byl nabídnut objekt na Gorazdově náměstí v Olomouci. Dále byly schváleny podmínky Programu obnovy venkova Olomouckého kraje, který byl vyhlášen dne 5. 1. 2015, sběr žádostí obcí bude ukončen 13. 2. 2015. Dalšími projednanými body byly dva projekty: projekt technické pomoci OK v rámci OPPS ČR – Polsko a projekt „Podpora rozvoje kraje“ předkládaný do 56. Výzvy ROP SM – oblast podpory 4.2. </w:t>
      </w:r>
      <w:r w:rsidR="00C0250E">
        <w:t>Důvodem realizace projektů je překlenout časový nesoulad mezi končícími projekty ze starých operačních programů a nástupem nových operačních programů.</w:t>
      </w:r>
    </w:p>
    <w:p w:rsidR="004266DF" w:rsidRDefault="004266DF" w:rsidP="0088134E">
      <w:pPr>
        <w:pStyle w:val="slo1text"/>
        <w:tabs>
          <w:tab w:val="clear" w:pos="567"/>
          <w:tab w:val="left" w:pos="-426"/>
        </w:tabs>
        <w:ind w:left="-426" w:firstLine="0"/>
      </w:pPr>
    </w:p>
    <w:p w:rsidR="00CE15F2" w:rsidRPr="00CE15F2" w:rsidRDefault="009559C8" w:rsidP="00CE15F2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left="0" w:hanging="426"/>
        <w:rPr>
          <w:b/>
        </w:rPr>
      </w:pPr>
      <w:r>
        <w:rPr>
          <w:b/>
        </w:rPr>
        <w:t>Aktuální stav příprav Olomouckého kraje na kohezní politiku EU</w:t>
      </w:r>
    </w:p>
    <w:p w:rsidR="00FD1AFD" w:rsidRDefault="00E81200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 xml:space="preserve">Ing. Novotná v úvodu představila </w:t>
      </w:r>
      <w:r w:rsidR="00B97423">
        <w:rPr>
          <w:szCs w:val="24"/>
        </w:rPr>
        <w:t xml:space="preserve">aktuální stav </w:t>
      </w:r>
      <w:r>
        <w:rPr>
          <w:szCs w:val="24"/>
        </w:rPr>
        <w:t>příprav nového programového období na národní úrovni, které vychází z tzv. Dohody o partnerství jako stěžejního dokumentu, který</w:t>
      </w:r>
      <w:r w:rsidRPr="00E81200">
        <w:t xml:space="preserve"> </w:t>
      </w:r>
      <w:r>
        <w:rPr>
          <w:szCs w:val="24"/>
        </w:rPr>
        <w:t>n</w:t>
      </w:r>
      <w:r w:rsidRPr="00E81200">
        <w:rPr>
          <w:szCs w:val="24"/>
        </w:rPr>
        <w:t>astavuje základní parametry pro využívání podpory z Evropských strukturálních a investičních fondů</w:t>
      </w:r>
      <w:r>
        <w:rPr>
          <w:szCs w:val="24"/>
        </w:rPr>
        <w:t xml:space="preserve"> a dalších koordinačních dokumentů.</w:t>
      </w:r>
      <w:r w:rsidR="008F6E8F">
        <w:rPr>
          <w:szCs w:val="24"/>
        </w:rPr>
        <w:t xml:space="preserve"> </w:t>
      </w:r>
      <w:r w:rsidR="00187165">
        <w:rPr>
          <w:szCs w:val="24"/>
        </w:rPr>
        <w:t xml:space="preserve">Popsala princip a budoucí nastavení fungování Národní stálé konference </w:t>
      </w:r>
      <w:r w:rsidR="005C245F">
        <w:rPr>
          <w:szCs w:val="24"/>
        </w:rPr>
        <w:t xml:space="preserve">(dále také NSK) </w:t>
      </w:r>
      <w:r w:rsidR="00187165">
        <w:rPr>
          <w:szCs w:val="24"/>
        </w:rPr>
        <w:t>a plánované činnosti a personální složení Regionální stálé konference</w:t>
      </w:r>
      <w:r w:rsidR="005C245F">
        <w:rPr>
          <w:szCs w:val="24"/>
        </w:rPr>
        <w:t xml:space="preserve"> (dále také RSK)</w:t>
      </w:r>
      <w:r w:rsidR="00187165">
        <w:rPr>
          <w:szCs w:val="24"/>
        </w:rPr>
        <w:t xml:space="preserve"> Olomouckého kraje.</w:t>
      </w:r>
    </w:p>
    <w:p w:rsidR="00187165" w:rsidRDefault="00187165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>V další části prezentace se Ing. Novotná věnovala</w:t>
      </w:r>
      <w:r w:rsidR="001E7027">
        <w:rPr>
          <w:szCs w:val="24"/>
        </w:rPr>
        <w:t xml:space="preserve"> Akčnímu plánu Strategie regionálního rozvoje, který bude hlavním</w:t>
      </w:r>
      <w:r w:rsidR="005C245F">
        <w:rPr>
          <w:szCs w:val="24"/>
        </w:rPr>
        <w:t xml:space="preserve"> koordinačním dokumentem pro práci NSK a představila jeho vazbu na jednotlivé operační programy. Základním dokumentem pro činnost RSK bude Regionální akční plán Olomouckého kraje. V souvislosti s dalším strategickým směřování</w:t>
      </w:r>
      <w:r w:rsidR="00453A65">
        <w:rPr>
          <w:szCs w:val="24"/>
        </w:rPr>
        <w:t>m</w:t>
      </w:r>
      <w:r w:rsidR="005C245F">
        <w:rPr>
          <w:szCs w:val="24"/>
        </w:rPr>
        <w:t xml:space="preserve"> Olomouckého kraje Ing. Novotná přítomné informovala o v současnosti aktualizovaném Programu rozvoje územního obvodu Olomouckého kraje, který reaguje na národní strategie, nastavení budoucí kohezní politiky a zároveň zohledňuje odvětvové krajské koncepce.</w:t>
      </w:r>
    </w:p>
    <w:p w:rsidR="005C245F" w:rsidRDefault="005C245F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 xml:space="preserve">V poslední části prezentace </w:t>
      </w:r>
      <w:r w:rsidR="00B97423">
        <w:rPr>
          <w:szCs w:val="24"/>
        </w:rPr>
        <w:t xml:space="preserve">Ing. Novotná blíže představila </w:t>
      </w:r>
      <w:r>
        <w:rPr>
          <w:szCs w:val="24"/>
        </w:rPr>
        <w:t xml:space="preserve">projekt tzv. „Evropských domů“ v krajích. Základní ideou projekut je sdružení všech pracovišť podílejících se na implementaci evropských fondů do jednoho místa. Evropský dům bude fungovat </w:t>
      </w:r>
      <w:r>
        <w:rPr>
          <w:szCs w:val="24"/>
        </w:rPr>
        <w:lastRenderedPageBreak/>
        <w:t xml:space="preserve">v pravděpodobném termínu od 1. 1. 2016 do 31. 12. 2022. </w:t>
      </w:r>
      <w:r w:rsidR="0002747F">
        <w:t xml:space="preserve">Za Olomoucký kraj byl nabídnut objekt na Gorazdově náměstí v Olomouci. Mezi jinými tak budou v Evropském domě působit například detašovaná pracoviště ministerstev, </w:t>
      </w:r>
      <w:r w:rsidR="00B97423">
        <w:t>Úřadu vlády ČR,</w:t>
      </w:r>
      <w:r w:rsidR="00B97423">
        <w:t xml:space="preserve"> zprostředkující subjekty ministerstev (státní fondy dopravní infrastruktury, životního prostředí, CzechInvest atd.), </w:t>
      </w:r>
      <w:r w:rsidR="0002747F">
        <w:t>Eurocentra, Technologická agentura ČR a další.</w:t>
      </w:r>
    </w:p>
    <w:p w:rsidR="006C377C" w:rsidRDefault="006C377C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</w:p>
    <w:p w:rsidR="00382AC1" w:rsidRDefault="0002747F" w:rsidP="00CE15F2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left="0" w:hanging="426"/>
        <w:rPr>
          <w:b/>
        </w:rPr>
      </w:pPr>
      <w:r>
        <w:rPr>
          <w:b/>
        </w:rPr>
        <w:t>Příprava Akčního plánu regionální přílohy RIS3 Olomouckého kraje na období 2015-2017</w:t>
      </w:r>
    </w:p>
    <w:p w:rsidR="00096A22" w:rsidRDefault="00096A22" w:rsidP="006463CF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>Ing. Jiří Herinek se v úvodu prezentace zaměřil na vývoj při projednávání RIS3 v druhé polovině roku 2014. V zápětí informoval o financování RIS3, která bude čerpat ze dvou hlavních zdrojů, tj. OP Podnikání a inovace pro konkurenceschopnost (řídícím orgánem Ministerstvo proůmyslu a obchodu ČR) a OP Věda, výzkum, vzědávání (řídícím orgánem Ministerstvo školství, mládeže a tělovýchovy</w:t>
      </w:r>
      <w:r w:rsidR="00453A65">
        <w:rPr>
          <w:szCs w:val="24"/>
        </w:rPr>
        <w:t xml:space="preserve"> ČR</w:t>
      </w:r>
      <w:r>
        <w:rPr>
          <w:szCs w:val="24"/>
        </w:rPr>
        <w:t>). Následně Ing. Herinek popsal hlavní činnosti RIS3 týmu, kdy byla od 30. 6. 2014 posílena kapacita S3 manažera (celkem 2x 0,5 úvazku), jsou připravovány projektové fiše a vznikla pilotní Analýza absolventů středních škol Olomouckého kraje.</w:t>
      </w:r>
      <w:r w:rsidR="006010DA">
        <w:rPr>
          <w:szCs w:val="24"/>
        </w:rPr>
        <w:t xml:space="preserve"> RIS3 tým se také podílí na příprvě ITI Olomoucké aglomerace.</w:t>
      </w:r>
    </w:p>
    <w:p w:rsidR="006010DA" w:rsidRDefault="006010DA" w:rsidP="006463CF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>Druhou část prezentace věnoval Ing. Herinek projektu „Smart Akcelerator“, který je určen k přípravě a koordinaci aktivit RIS3 v Olomouckém kraji. Projekt rozdělený na dvě hlavní fáze bude z 85 % financován z prostředků EU a z 15 % z prostředků Olomouckého kraje. Mezi způsobilé náklady budou patřit například osobní náklady, nákup služeb, režijní náklady, pořizování nehmotného majetku či náklady na vzdělávání. Hlavními aktivitami projektu bude zajištění fungování RIS3 v kraji, asistence při přípravě projektů kraje, řízení projektů, jejich průběžná propagace atd.</w:t>
      </w:r>
    </w:p>
    <w:p w:rsidR="004B79DB" w:rsidRDefault="004B79DB" w:rsidP="006463CF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 xml:space="preserve">Další část prezentace byla věnována Akčnímu plánu RIS3, který prezentoval Bc. Pavel Pustina, pracovník oddělení regionálního rozvoje. Akční plán je souhrnem aktivit, které budou v rámci RIS3 v Olomouckém kraji realizovány, přičemž tyto se mohou měnit v závislosti na jejich způsobilosti z pohledu jednotlivých řídících orgánů. Následně Bc. Pustina představil jednotlivé dílčí aktivity Akčního plánu, mezi jinými například analýzu absolventů, soutěže pro podnikatele a studenty, </w:t>
      </w:r>
      <w:r w:rsidR="00453A65">
        <w:rPr>
          <w:szCs w:val="24"/>
        </w:rPr>
        <w:t xml:space="preserve">aktivity v oblasti </w:t>
      </w:r>
      <w:r>
        <w:rPr>
          <w:szCs w:val="24"/>
        </w:rPr>
        <w:t>popularizace přírodovědného a technického vzdělávání, stáže ve firmách pro studenty VŠ a SŠ, tvorb</w:t>
      </w:r>
      <w:r w:rsidR="00453A65">
        <w:rPr>
          <w:szCs w:val="24"/>
        </w:rPr>
        <w:t xml:space="preserve">u </w:t>
      </w:r>
      <w:r>
        <w:rPr>
          <w:szCs w:val="24"/>
        </w:rPr>
        <w:t>databáze inovačních firem či samotný projekt Smart Akcelerator.</w:t>
      </w:r>
    </w:p>
    <w:p w:rsidR="004B79DB" w:rsidRDefault="004B79DB" w:rsidP="006463CF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>
        <w:rPr>
          <w:szCs w:val="24"/>
        </w:rPr>
        <w:t>V závěru prezentace Ing. Herinek představil harmonogram</w:t>
      </w:r>
      <w:r w:rsidR="001D4DB8">
        <w:rPr>
          <w:szCs w:val="24"/>
        </w:rPr>
        <w:t xml:space="preserve"> dalšího postupu. V 1. </w:t>
      </w:r>
      <w:r w:rsidR="00453A65">
        <w:rPr>
          <w:szCs w:val="24"/>
        </w:rPr>
        <w:t>a </w:t>
      </w:r>
      <w:r w:rsidR="001D4DB8">
        <w:rPr>
          <w:szCs w:val="24"/>
        </w:rPr>
        <w:t xml:space="preserve">2. </w:t>
      </w:r>
      <w:r w:rsidR="00453A65">
        <w:rPr>
          <w:szCs w:val="24"/>
        </w:rPr>
        <w:t>č</w:t>
      </w:r>
      <w:r w:rsidR="001D4DB8">
        <w:rPr>
          <w:szCs w:val="24"/>
        </w:rPr>
        <w:t>tvrtletí 2015 bude připraven seznam způsobilých aktivit do Akčního plánu RIS3 a projektu Smart Akcelerator. Ve stejném období budou také připraveny prioritní aktivity pro realizaci v Olomouckém kraji. Od 1. 7. 2015 by pak mělo dojít ke spuštění projektu Smart Akcelerator.</w:t>
      </w:r>
    </w:p>
    <w:p w:rsidR="001436E5" w:rsidRDefault="001436E5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</w:p>
    <w:p w:rsidR="00E537C6" w:rsidRPr="0088134E" w:rsidRDefault="00E537C6" w:rsidP="0088134E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hanging="1326"/>
        <w:rPr>
          <w:b/>
        </w:rPr>
      </w:pPr>
      <w:r w:rsidRPr="0088134E">
        <w:rPr>
          <w:b/>
        </w:rPr>
        <w:t>Různé</w:t>
      </w:r>
    </w:p>
    <w:p w:rsidR="00E537C6" w:rsidRDefault="00096A22" w:rsidP="0088134E">
      <w:pPr>
        <w:pStyle w:val="slo1text"/>
        <w:tabs>
          <w:tab w:val="clear" w:pos="567"/>
          <w:tab w:val="left" w:pos="-426"/>
        </w:tabs>
        <w:ind w:left="-426" w:firstLine="0"/>
        <w:rPr>
          <w:szCs w:val="24"/>
        </w:rPr>
      </w:pPr>
      <w:r>
        <w:rPr>
          <w:szCs w:val="24"/>
        </w:rPr>
        <w:t xml:space="preserve">Ing. Jiří Krátký </w:t>
      </w:r>
      <w:r w:rsidR="00310F4C">
        <w:rPr>
          <w:szCs w:val="24"/>
        </w:rPr>
        <w:t>inform</w:t>
      </w:r>
      <w:r w:rsidR="000B3111">
        <w:rPr>
          <w:szCs w:val="24"/>
        </w:rPr>
        <w:t>o</w:t>
      </w:r>
      <w:r w:rsidR="00310F4C">
        <w:rPr>
          <w:szCs w:val="24"/>
        </w:rPr>
        <w:t>val o</w:t>
      </w:r>
      <w:r w:rsidR="000B3111">
        <w:rPr>
          <w:szCs w:val="24"/>
        </w:rPr>
        <w:t xml:space="preserve"> své </w:t>
      </w:r>
      <w:r>
        <w:rPr>
          <w:szCs w:val="24"/>
        </w:rPr>
        <w:t>rezign</w:t>
      </w:r>
      <w:r w:rsidR="000B3111">
        <w:rPr>
          <w:szCs w:val="24"/>
        </w:rPr>
        <w:t>aci</w:t>
      </w:r>
      <w:r>
        <w:rPr>
          <w:szCs w:val="24"/>
        </w:rPr>
        <w:t xml:space="preserve"> na funkci člena Výboru pro regionální rozvoj ZOK. </w:t>
      </w:r>
      <w:r w:rsidR="00B97423" w:rsidRPr="00B97423">
        <w:rPr>
          <w:szCs w:val="24"/>
        </w:rPr>
        <w:t xml:space="preserve">Pro příští jednání výboru bude nominován člen nový. </w:t>
      </w:r>
      <w:r w:rsidR="00B97423">
        <w:rPr>
          <w:szCs w:val="24"/>
        </w:rPr>
        <w:t xml:space="preserve">Zároveň se vyjádřil k přípravě objektů v majetku OK k nabídce provozovatelům tzv. EPC metodou. Upozornil na složitost problematiky meotdy EPC a nutnost specifikovat v zadávacích podmínkách veřejných zakázek na provozovatele způsob dosahovaných úspor tak, aby poskytovatelé nabízeli řešení energetických hospodářství budov co možná nejvýhodnější pro OK. </w:t>
      </w:r>
      <w:r w:rsidR="00562481">
        <w:rPr>
          <w:szCs w:val="24"/>
        </w:rPr>
        <w:t>Bc. Vladimír</w:t>
      </w:r>
      <w:r w:rsidR="0074191F">
        <w:rPr>
          <w:szCs w:val="24"/>
        </w:rPr>
        <w:t> </w:t>
      </w:r>
      <w:r w:rsidR="00562481">
        <w:rPr>
          <w:szCs w:val="24"/>
        </w:rPr>
        <w:t>Urbánek, </w:t>
      </w:r>
      <w:r w:rsidR="00E537C6">
        <w:rPr>
          <w:szCs w:val="24"/>
        </w:rPr>
        <w:t>DiS. navrhnul termín konání příštího zasedání Výboru pro regionální rozvoj</w:t>
      </w:r>
      <w:r w:rsidR="00562481">
        <w:rPr>
          <w:szCs w:val="24"/>
        </w:rPr>
        <w:t>, který se uskuteční</w:t>
      </w:r>
      <w:r w:rsidR="00E537C6">
        <w:rPr>
          <w:szCs w:val="24"/>
        </w:rPr>
        <w:t xml:space="preserve"> </w:t>
      </w:r>
      <w:r w:rsidR="00EA086E">
        <w:rPr>
          <w:szCs w:val="24"/>
        </w:rPr>
        <w:t>dne 9.</w:t>
      </w:r>
      <w:r w:rsidR="00382AC1">
        <w:rPr>
          <w:szCs w:val="24"/>
        </w:rPr>
        <w:t xml:space="preserve"> </w:t>
      </w:r>
      <w:r w:rsidR="0073667E">
        <w:rPr>
          <w:szCs w:val="24"/>
        </w:rPr>
        <w:t>března</w:t>
      </w:r>
      <w:r w:rsidR="00C367EE">
        <w:rPr>
          <w:szCs w:val="24"/>
        </w:rPr>
        <w:t xml:space="preserve"> 2015</w:t>
      </w:r>
      <w:r w:rsidR="00767CB0">
        <w:rPr>
          <w:szCs w:val="24"/>
        </w:rPr>
        <w:t>.</w:t>
      </w:r>
      <w:r w:rsidR="00382AC1">
        <w:rPr>
          <w:szCs w:val="24"/>
        </w:rPr>
        <w:t xml:space="preserve"> </w:t>
      </w:r>
      <w:r w:rsidR="00767CB0">
        <w:rPr>
          <w:szCs w:val="24"/>
        </w:rPr>
        <w:t>Bc. Urbánek</w:t>
      </w:r>
      <w:r w:rsidR="00562481">
        <w:rPr>
          <w:szCs w:val="24"/>
        </w:rPr>
        <w:t xml:space="preserve">, DiS., </w:t>
      </w:r>
      <w:r w:rsidR="00767CB0">
        <w:rPr>
          <w:szCs w:val="24"/>
        </w:rPr>
        <w:t xml:space="preserve"> zároveň vyzval členy výboru ke stanovení vlastních témat spadajících do oblasti regionálního rozvoje.</w:t>
      </w:r>
    </w:p>
    <w:p w:rsidR="00E537C6" w:rsidRDefault="00E537C6" w:rsidP="00E537C6">
      <w:pPr>
        <w:pStyle w:val="Vborprogram"/>
        <w:spacing w:before="120" w:after="120"/>
        <w:ind w:left="539"/>
        <w:rPr>
          <w:b w:val="0"/>
          <w:szCs w:val="24"/>
        </w:rPr>
      </w:pPr>
    </w:p>
    <w:p w:rsidR="00E537C6" w:rsidRDefault="00E537C6" w:rsidP="00E537C6">
      <w:pPr>
        <w:pStyle w:val="Vborprogram"/>
        <w:spacing w:before="120" w:after="120"/>
        <w:ind w:left="539"/>
        <w:rPr>
          <w:b w:val="0"/>
          <w:szCs w:val="24"/>
        </w:rPr>
      </w:pPr>
    </w:p>
    <w:p w:rsidR="00E537C6" w:rsidRDefault="00E537C6" w:rsidP="00E537C6">
      <w:pPr>
        <w:pStyle w:val="Vborprogram"/>
        <w:spacing w:before="120" w:after="120"/>
        <w:ind w:left="539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73667E">
        <w:rPr>
          <w:b w:val="0"/>
          <w:szCs w:val="24"/>
        </w:rPr>
        <w:t>19</w:t>
      </w:r>
      <w:r>
        <w:rPr>
          <w:b w:val="0"/>
          <w:szCs w:val="24"/>
        </w:rPr>
        <w:t>. </w:t>
      </w:r>
      <w:r w:rsidR="00C04B13">
        <w:rPr>
          <w:b w:val="0"/>
          <w:szCs w:val="24"/>
        </w:rPr>
        <w:t>1</w:t>
      </w:r>
      <w:r w:rsidR="0073667E">
        <w:rPr>
          <w:b w:val="0"/>
          <w:szCs w:val="24"/>
        </w:rPr>
        <w:t>. 2015</w:t>
      </w: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E537C6" w:rsidRDefault="00E537C6" w:rsidP="00E537C6">
      <w:pPr>
        <w:pStyle w:val="Vborplohy"/>
        <w:spacing w:after="0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 Vladimír Urbánek, DiS.</w:t>
      </w:r>
    </w:p>
    <w:p w:rsidR="00B952BB" w:rsidRDefault="00E537C6" w:rsidP="0073667E">
      <w:pPr>
        <w:pStyle w:val="Podpis"/>
        <w:ind w:left="0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předseda výboru</w:t>
      </w:r>
    </w:p>
    <w:sectPr w:rsidR="00B952BB" w:rsidSect="0073667E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24" w:rsidRDefault="00365624" w:rsidP="00C61A3C">
      <w:pPr>
        <w:spacing w:after="0" w:line="240" w:lineRule="auto"/>
      </w:pPr>
      <w:r>
        <w:separator/>
      </w:r>
    </w:p>
  </w:endnote>
  <w:endnote w:type="continuationSeparator" w:id="0">
    <w:p w:rsidR="00365624" w:rsidRDefault="00365624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31"/>
      <w:docPartObj>
        <w:docPartGallery w:val="Page Numbers (Bottom of Page)"/>
        <w:docPartUnique/>
      </w:docPartObj>
    </w:sdtPr>
    <w:sdtEndPr/>
    <w:sdtContent>
      <w:p w:rsidR="00C61A3C" w:rsidRDefault="00C61A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23">
          <w:rPr>
            <w:noProof/>
          </w:rPr>
          <w:t>4</w:t>
        </w:r>
        <w:r>
          <w:fldChar w:fldCharType="end"/>
        </w:r>
      </w:p>
    </w:sdtContent>
  </w:sdt>
  <w:p w:rsidR="00C61A3C" w:rsidRDefault="00C61A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24" w:rsidRDefault="00365624" w:rsidP="00C61A3C">
      <w:pPr>
        <w:spacing w:after="0" w:line="240" w:lineRule="auto"/>
      </w:pPr>
      <w:r>
        <w:separator/>
      </w:r>
    </w:p>
  </w:footnote>
  <w:footnote w:type="continuationSeparator" w:id="0">
    <w:p w:rsidR="00365624" w:rsidRDefault="00365624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D"/>
    <w:rsid w:val="00020D24"/>
    <w:rsid w:val="0002747F"/>
    <w:rsid w:val="00096A22"/>
    <w:rsid w:val="000B3111"/>
    <w:rsid w:val="001436E5"/>
    <w:rsid w:val="00187165"/>
    <w:rsid w:val="001B3E5A"/>
    <w:rsid w:val="001D4DB8"/>
    <w:rsid w:val="001E7027"/>
    <w:rsid w:val="00297733"/>
    <w:rsid w:val="002B5590"/>
    <w:rsid w:val="00310F4C"/>
    <w:rsid w:val="003212FC"/>
    <w:rsid w:val="00342E49"/>
    <w:rsid w:val="00350EF7"/>
    <w:rsid w:val="00365624"/>
    <w:rsid w:val="00371E13"/>
    <w:rsid w:val="00381A3A"/>
    <w:rsid w:val="00382AC1"/>
    <w:rsid w:val="003F0694"/>
    <w:rsid w:val="004266DF"/>
    <w:rsid w:val="00453A65"/>
    <w:rsid w:val="00487C93"/>
    <w:rsid w:val="004938EE"/>
    <w:rsid w:val="004B79DB"/>
    <w:rsid w:val="004C1B8E"/>
    <w:rsid w:val="00557CDC"/>
    <w:rsid w:val="00562481"/>
    <w:rsid w:val="005C245F"/>
    <w:rsid w:val="005C33FA"/>
    <w:rsid w:val="005E3C09"/>
    <w:rsid w:val="005F3BA8"/>
    <w:rsid w:val="006010DA"/>
    <w:rsid w:val="00624E3F"/>
    <w:rsid w:val="00634671"/>
    <w:rsid w:val="006463CF"/>
    <w:rsid w:val="00654405"/>
    <w:rsid w:val="006B0A88"/>
    <w:rsid w:val="006C377C"/>
    <w:rsid w:val="0073667E"/>
    <w:rsid w:val="0074191F"/>
    <w:rsid w:val="00767CB0"/>
    <w:rsid w:val="00770FF2"/>
    <w:rsid w:val="007C2EBD"/>
    <w:rsid w:val="007F5A50"/>
    <w:rsid w:val="0088134E"/>
    <w:rsid w:val="008F1C7B"/>
    <w:rsid w:val="008F48FC"/>
    <w:rsid w:val="008F6E8F"/>
    <w:rsid w:val="00935065"/>
    <w:rsid w:val="009559C8"/>
    <w:rsid w:val="0097459E"/>
    <w:rsid w:val="009A14B7"/>
    <w:rsid w:val="009C43A6"/>
    <w:rsid w:val="00A0321C"/>
    <w:rsid w:val="00A14130"/>
    <w:rsid w:val="00A67E6C"/>
    <w:rsid w:val="00A864D4"/>
    <w:rsid w:val="00AE787E"/>
    <w:rsid w:val="00AE79BB"/>
    <w:rsid w:val="00AF0057"/>
    <w:rsid w:val="00B26793"/>
    <w:rsid w:val="00B36655"/>
    <w:rsid w:val="00B6074B"/>
    <w:rsid w:val="00B952BB"/>
    <w:rsid w:val="00B97423"/>
    <w:rsid w:val="00BC7C48"/>
    <w:rsid w:val="00C0250E"/>
    <w:rsid w:val="00C04B13"/>
    <w:rsid w:val="00C367EE"/>
    <w:rsid w:val="00C61A3C"/>
    <w:rsid w:val="00C8334B"/>
    <w:rsid w:val="00C9216C"/>
    <w:rsid w:val="00CE15F2"/>
    <w:rsid w:val="00D066AB"/>
    <w:rsid w:val="00D975F1"/>
    <w:rsid w:val="00DB088E"/>
    <w:rsid w:val="00DF5B0A"/>
    <w:rsid w:val="00E02B39"/>
    <w:rsid w:val="00E10B66"/>
    <w:rsid w:val="00E537C6"/>
    <w:rsid w:val="00E55323"/>
    <w:rsid w:val="00E81200"/>
    <w:rsid w:val="00EA086E"/>
    <w:rsid w:val="00EE3B3D"/>
    <w:rsid w:val="00FB23C4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B142-F9D2-49EE-947D-73430814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6194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Novotná Marta</cp:lastModifiedBy>
  <cp:revision>2</cp:revision>
  <dcterms:created xsi:type="dcterms:W3CDTF">2015-01-23T09:42:00Z</dcterms:created>
  <dcterms:modified xsi:type="dcterms:W3CDTF">2015-01-23T09:42:00Z</dcterms:modified>
</cp:coreProperties>
</file>