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W w:w="5000" w:type="pct"/>
        <w:tblLook w:val="04A0" w:firstRow="1" w:lastRow="0" w:firstColumn="1" w:lastColumn="0" w:noHBand="0" w:noVBand="1"/>
      </w:tblPr>
      <w:tblGrid>
        <w:gridCol w:w="9288"/>
      </w:tblGrid>
      <w:tr w:rsidR="0075381E" w:rsidTr="0075381E">
        <w:tc>
          <w:tcPr>
            <w:tcW w:w="5000" w:type="pct"/>
          </w:tcPr>
          <w:p w:rsidR="0075381E" w:rsidRPr="0075381E" w:rsidRDefault="0075381E" w:rsidP="0075381E">
            <w:pPr>
              <w:pStyle w:val="Nadpisobsahu"/>
              <w:jc w:val="center"/>
              <w:rPr>
                <w:rFonts w:asciiTheme="minorHAnsi" w:eastAsiaTheme="minorEastAsia" w:hAnsiTheme="minorHAnsi" w:cs="Times New Roman"/>
                <w:bCs w:val="0"/>
                <w:kern w:val="0"/>
                <w:sz w:val="36"/>
                <w:szCs w:val="36"/>
              </w:rPr>
            </w:pPr>
            <w:r w:rsidRPr="0075381E">
              <w:rPr>
                <w:rFonts w:asciiTheme="minorHAnsi" w:eastAsiaTheme="minorEastAsia" w:hAnsiTheme="minorHAnsi" w:cs="Times New Roman"/>
                <w:bCs w:val="0"/>
                <w:kern w:val="0"/>
                <w:sz w:val="44"/>
                <w:szCs w:val="36"/>
              </w:rPr>
              <w:t>AKTUALIZ</w:t>
            </w:r>
            <w:r w:rsidR="008A647C">
              <w:rPr>
                <w:rFonts w:asciiTheme="minorHAnsi" w:eastAsiaTheme="minorEastAsia" w:hAnsiTheme="minorHAnsi" w:cs="Times New Roman"/>
                <w:bCs w:val="0"/>
                <w:kern w:val="0"/>
                <w:sz w:val="44"/>
                <w:szCs w:val="36"/>
              </w:rPr>
              <w:t>ACE PLÁNU ROZVOJE VODOVODŮ A KA</w:t>
            </w:r>
            <w:r w:rsidRPr="0075381E">
              <w:rPr>
                <w:rFonts w:asciiTheme="minorHAnsi" w:eastAsiaTheme="minorEastAsia" w:hAnsiTheme="minorHAnsi" w:cs="Times New Roman"/>
                <w:bCs w:val="0"/>
                <w:kern w:val="0"/>
                <w:sz w:val="44"/>
                <w:szCs w:val="36"/>
              </w:rPr>
              <w:t>NALIZACÍ OLOMOUCKÉHO KRAJE</w:t>
            </w:r>
          </w:p>
        </w:tc>
      </w:tr>
    </w:tbl>
    <w:p w:rsidR="009638B8" w:rsidRDefault="009638B8" w:rsidP="00480EAE"/>
    <w:tbl>
      <w:tblPr>
        <w:tblStyle w:val="Mkatabulky"/>
        <w:tblW w:w="5000" w:type="pct"/>
        <w:tblLook w:val="04A0" w:firstRow="1" w:lastRow="0" w:firstColumn="1" w:lastColumn="0" w:noHBand="0" w:noVBand="1"/>
      </w:tblPr>
      <w:tblGrid>
        <w:gridCol w:w="9288"/>
      </w:tblGrid>
      <w:tr w:rsidR="00BB1373" w:rsidTr="00BB1373">
        <w:tc>
          <w:tcPr>
            <w:tcW w:w="5000" w:type="pct"/>
            <w:vAlign w:val="center"/>
          </w:tcPr>
          <w:p w:rsidR="00BB1373" w:rsidRDefault="00BB1373" w:rsidP="00BB1373">
            <w:pPr>
              <w:jc w:val="center"/>
            </w:pPr>
            <w:r>
              <w:rPr>
                <w:noProof/>
                <w:lang w:eastAsia="cs-CZ"/>
              </w:rPr>
              <w:drawing>
                <wp:inline distT="0" distB="0" distL="0" distR="0" wp14:anchorId="2889E304" wp14:editId="4CD6E69F">
                  <wp:extent cx="5760000" cy="4287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11909" b="12553"/>
                          <a:stretch/>
                        </pic:blipFill>
                        <pic:spPr bwMode="auto">
                          <a:xfrm>
                            <a:off x="0" y="0"/>
                            <a:ext cx="5760000" cy="4287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5381E" w:rsidRDefault="0075381E" w:rsidP="00480EAE"/>
    <w:tbl>
      <w:tblPr>
        <w:tblStyle w:val="Mkatabulky"/>
        <w:tblW w:w="5000" w:type="pct"/>
        <w:tblLook w:val="04A0" w:firstRow="1" w:lastRow="0" w:firstColumn="1" w:lastColumn="0" w:noHBand="0" w:noVBand="1"/>
      </w:tblPr>
      <w:tblGrid>
        <w:gridCol w:w="9288"/>
      </w:tblGrid>
      <w:tr w:rsidR="00905AD9" w:rsidTr="0075381E">
        <w:tc>
          <w:tcPr>
            <w:tcW w:w="5000" w:type="pct"/>
            <w:shd w:val="clear" w:color="auto" w:fill="009999"/>
          </w:tcPr>
          <w:p w:rsidR="00905AD9" w:rsidRPr="0075381E" w:rsidRDefault="0075381E" w:rsidP="0075381E">
            <w:pPr>
              <w:jc w:val="center"/>
              <w:rPr>
                <w:b/>
                <w:sz w:val="32"/>
                <w:szCs w:val="32"/>
              </w:rPr>
            </w:pPr>
            <w:r w:rsidRPr="0075381E">
              <w:rPr>
                <w:b/>
                <w:color w:val="FFFFFF" w:themeColor="background1"/>
                <w:sz w:val="40"/>
                <w:szCs w:val="32"/>
              </w:rPr>
              <w:t>DEMOGRAFICKÝ VÝVOJ</w:t>
            </w:r>
          </w:p>
        </w:tc>
      </w:tr>
    </w:tbl>
    <w:p w:rsidR="00905AD9" w:rsidRDefault="00905AD9" w:rsidP="00905AD9"/>
    <w:p w:rsidR="00905AD9" w:rsidRDefault="00905AD9" w:rsidP="00905AD9"/>
    <w:p w:rsidR="00905AD9" w:rsidRPr="00070705" w:rsidRDefault="003D39CF" w:rsidP="003D39CF">
      <w:pPr>
        <w:jc w:val="center"/>
        <w:rPr>
          <w:b/>
          <w:sz w:val="24"/>
        </w:rPr>
      </w:pPr>
      <w:r w:rsidRPr="00070705">
        <w:rPr>
          <w:b/>
          <w:sz w:val="24"/>
        </w:rPr>
        <w:t>PROSINEC 2016</w:t>
      </w:r>
    </w:p>
    <w:p w:rsidR="00070705" w:rsidRDefault="00070705" w:rsidP="003D39CF">
      <w:pPr>
        <w:jc w:val="center"/>
      </w:pPr>
      <w:r>
        <w:rPr>
          <w:noProof/>
          <w:lang w:eastAsia="cs-CZ"/>
        </w:rPr>
        <w:drawing>
          <wp:anchor distT="0" distB="0" distL="114300" distR="114300" simplePos="0" relativeHeight="251660288" behindDoc="1" locked="0" layoutInCell="1" allowOverlap="1" wp14:anchorId="5FB59AE8" wp14:editId="55049DC2">
            <wp:simplePos x="0" y="0"/>
            <wp:positionH relativeFrom="column">
              <wp:align>center</wp:align>
            </wp:positionH>
            <wp:positionV relativeFrom="page">
              <wp:posOffset>7964805</wp:posOffset>
            </wp:positionV>
            <wp:extent cx="1292400" cy="763200"/>
            <wp:effectExtent l="0" t="0" r="3175" b="0"/>
            <wp:wrapNone/>
            <wp:docPr id="6" name="Obrázek 6" descr="http://vrv.cz/downloads/logo_pantone-3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rv.cz/downloads/logo_pantone-320C.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400" cy="7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705" w:rsidRDefault="00070705" w:rsidP="003D39CF">
      <w:pPr>
        <w:jc w:val="center"/>
      </w:pPr>
    </w:p>
    <w:p w:rsidR="003D39CF" w:rsidRDefault="003D39CF" w:rsidP="003D39CF">
      <w:pPr>
        <w:jc w:val="center"/>
      </w:pPr>
    </w:p>
    <w:p w:rsidR="003D39CF" w:rsidRDefault="003D39CF" w:rsidP="003D39CF">
      <w:pPr>
        <w:jc w:val="center"/>
      </w:pPr>
    </w:p>
    <w:p w:rsidR="00070705" w:rsidRDefault="00070705" w:rsidP="003D39CF">
      <w:pPr>
        <w:jc w:val="center"/>
      </w:pPr>
    </w:p>
    <w:p w:rsidR="00905AD9" w:rsidRDefault="00905AD9" w:rsidP="00070705">
      <w:pPr>
        <w:jc w:val="center"/>
      </w:pPr>
    </w:p>
    <w:p w:rsidR="00070705" w:rsidRPr="005052E8" w:rsidRDefault="005052E8" w:rsidP="00070705">
      <w:pPr>
        <w:jc w:val="center"/>
        <w:rPr>
          <w:b/>
          <w:sz w:val="24"/>
        </w:rPr>
      </w:pPr>
      <w:r w:rsidRPr="005052E8">
        <w:rPr>
          <w:b/>
          <w:sz w:val="24"/>
        </w:rPr>
        <w:t>Vodohospodářský rozvoj a výstavba a.s.</w:t>
      </w:r>
    </w:p>
    <w:p w:rsidR="00255195" w:rsidRDefault="009638B8" w:rsidP="00255195">
      <w:r>
        <w:br w:type="page"/>
      </w:r>
    </w:p>
    <w:p w:rsidR="009638B8" w:rsidRPr="008360F9" w:rsidRDefault="001A088F">
      <w:pPr>
        <w:pStyle w:val="Nadpisobsahu"/>
        <w:rPr>
          <w:rFonts w:asciiTheme="minorHAnsi" w:eastAsiaTheme="minorEastAsia" w:hAnsiTheme="minorHAnsi" w:cs="Times New Roman"/>
          <w:bCs w:val="0"/>
          <w:kern w:val="0"/>
          <w:sz w:val="24"/>
          <w:szCs w:val="24"/>
        </w:rPr>
      </w:pPr>
      <w:r w:rsidRPr="008360F9">
        <w:rPr>
          <w:rFonts w:asciiTheme="minorHAnsi" w:eastAsiaTheme="minorEastAsia" w:hAnsiTheme="minorHAnsi" w:cs="Times New Roman"/>
          <w:bCs w:val="0"/>
          <w:kern w:val="0"/>
          <w:sz w:val="24"/>
          <w:szCs w:val="24"/>
        </w:rPr>
        <w:lastRenderedPageBreak/>
        <w:t>Vodohospodářský rozvoj a výstavba a.s.</w:t>
      </w:r>
    </w:p>
    <w:p w:rsidR="001A088F" w:rsidRPr="008360F9" w:rsidRDefault="001A088F" w:rsidP="001A088F">
      <w:pPr>
        <w:rPr>
          <w:b/>
        </w:rPr>
      </w:pPr>
      <w:r w:rsidRPr="008360F9">
        <w:rPr>
          <w:b/>
        </w:rPr>
        <w:t>Nábřežní4, 150 56 Praha 5 – Smíchov</w:t>
      </w:r>
    </w:p>
    <w:p w:rsidR="001A088F" w:rsidRPr="008360F9" w:rsidRDefault="001A088F" w:rsidP="001A088F">
      <w:pPr>
        <w:rPr>
          <w:b/>
        </w:rPr>
      </w:pPr>
      <w:r w:rsidRPr="008360F9">
        <w:rPr>
          <w:b/>
        </w:rPr>
        <w:t>DIVIZE 02</w:t>
      </w:r>
    </w:p>
    <w:p w:rsidR="009638B8" w:rsidRDefault="009638B8" w:rsidP="009638B8"/>
    <w:p w:rsidR="008360F9" w:rsidRDefault="008360F9" w:rsidP="009638B8">
      <w:r>
        <w:t>tel: 731 412 553</w:t>
      </w:r>
    </w:p>
    <w:p w:rsidR="008360F9" w:rsidRDefault="008360F9" w:rsidP="009638B8">
      <w:r>
        <w:t>e-mail: ohanka@vrv.cz</w:t>
      </w:r>
    </w:p>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Pr="00A63C77" w:rsidRDefault="008360F9" w:rsidP="008360F9">
      <w:pPr>
        <w:jc w:val="center"/>
        <w:rPr>
          <w:b/>
          <w:sz w:val="36"/>
        </w:rPr>
      </w:pPr>
      <w:r w:rsidRPr="00A63C77">
        <w:rPr>
          <w:b/>
          <w:sz w:val="36"/>
        </w:rPr>
        <w:t>AKTUALIZACE PLÁNU ROZVOJE VODOVODŮ A KANALIZACÍ OLOMOUCKÉHO KRAJE</w:t>
      </w:r>
    </w:p>
    <w:p w:rsidR="008360F9" w:rsidRPr="008360F9" w:rsidRDefault="008360F9" w:rsidP="008360F9">
      <w:pPr>
        <w:jc w:val="center"/>
        <w:rPr>
          <w:b/>
          <w:sz w:val="32"/>
        </w:rPr>
      </w:pPr>
    </w:p>
    <w:p w:rsidR="008360F9" w:rsidRPr="008360F9" w:rsidRDefault="008360F9" w:rsidP="008360F9">
      <w:pPr>
        <w:jc w:val="center"/>
        <w:rPr>
          <w:b/>
          <w:sz w:val="32"/>
        </w:rPr>
      </w:pPr>
      <w:r w:rsidRPr="008360F9">
        <w:rPr>
          <w:b/>
          <w:sz w:val="32"/>
        </w:rPr>
        <w:t>DEMOGRAFICKÝ VÝVOJ</w:t>
      </w:r>
    </w:p>
    <w:p w:rsidR="009638B8" w:rsidRDefault="009638B8"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8360F9" w:rsidRDefault="000A5A20" w:rsidP="009638B8">
      <w:pPr>
        <w:rPr>
          <w:sz w:val="24"/>
        </w:rPr>
      </w:pPr>
      <w:r w:rsidRPr="000A5A20">
        <w:rPr>
          <w:sz w:val="24"/>
        </w:rPr>
        <w:t xml:space="preserve">Zpracoval: </w:t>
      </w:r>
      <w:r w:rsidR="001B7266">
        <w:rPr>
          <w:sz w:val="24"/>
        </w:rPr>
        <w:tab/>
      </w:r>
      <w:r w:rsidR="001B7266">
        <w:rPr>
          <w:sz w:val="24"/>
        </w:rPr>
        <w:tab/>
      </w:r>
      <w:r w:rsidRPr="000A5A20">
        <w:rPr>
          <w:sz w:val="24"/>
        </w:rPr>
        <w:t>Ing. Tomáš Oháňka</w:t>
      </w:r>
    </w:p>
    <w:p w:rsidR="001B7266" w:rsidRDefault="001B7266" w:rsidP="009638B8">
      <w:pPr>
        <w:rPr>
          <w:sz w:val="24"/>
        </w:rPr>
      </w:pPr>
      <w:r>
        <w:rPr>
          <w:sz w:val="24"/>
        </w:rPr>
        <w:tab/>
      </w:r>
      <w:r>
        <w:rPr>
          <w:sz w:val="24"/>
        </w:rPr>
        <w:tab/>
      </w:r>
      <w:r>
        <w:rPr>
          <w:sz w:val="24"/>
        </w:rPr>
        <w:tab/>
        <w:t>Ing. Michal Valeš</w:t>
      </w:r>
    </w:p>
    <w:p w:rsidR="001B7266" w:rsidRPr="000A5A20" w:rsidRDefault="001B7266" w:rsidP="001B7266">
      <w:pPr>
        <w:ind w:left="1416" w:firstLine="708"/>
        <w:rPr>
          <w:sz w:val="24"/>
        </w:rPr>
      </w:pPr>
      <w:r>
        <w:rPr>
          <w:sz w:val="24"/>
        </w:rPr>
        <w:t>Ing. Robin Hála</w:t>
      </w:r>
    </w:p>
    <w:p w:rsidR="008360F9" w:rsidRDefault="008360F9" w:rsidP="009638B8"/>
    <w:p w:rsidR="008360F9" w:rsidRDefault="008360F9" w:rsidP="009638B8"/>
    <w:p w:rsidR="008360F9" w:rsidRDefault="008360F9" w:rsidP="009638B8"/>
    <w:p w:rsidR="008360F9" w:rsidRDefault="008360F9" w:rsidP="009638B8"/>
    <w:p w:rsidR="008360F9" w:rsidRDefault="008360F9" w:rsidP="009638B8"/>
    <w:p w:rsidR="009638B8" w:rsidRDefault="000A5A20" w:rsidP="009638B8">
      <w:r>
        <w:t>V Olomouci, dne 20. 12. 2016</w:t>
      </w:r>
    </w:p>
    <w:p w:rsidR="009638B8" w:rsidRDefault="009638B8" w:rsidP="009638B8">
      <w:pPr>
        <w:sectPr w:rsidR="009638B8" w:rsidSect="00F1098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93"/>
          <w:cols w:space="708"/>
          <w:docGrid w:linePitch="360"/>
        </w:sectPr>
      </w:pPr>
    </w:p>
    <w:sdt>
      <w:sdtPr>
        <w:rPr>
          <w:rFonts w:asciiTheme="minorHAnsi" w:eastAsiaTheme="minorEastAsia" w:hAnsiTheme="minorHAnsi" w:cs="Times New Roman"/>
          <w:b w:val="0"/>
          <w:bCs w:val="0"/>
          <w:kern w:val="0"/>
          <w:sz w:val="24"/>
          <w:szCs w:val="24"/>
        </w:rPr>
        <w:id w:val="-1074575849"/>
        <w:docPartObj>
          <w:docPartGallery w:val="Table of Contents"/>
          <w:docPartUnique/>
        </w:docPartObj>
      </w:sdtPr>
      <w:sdtEndPr>
        <w:rPr>
          <w:sz w:val="22"/>
        </w:rPr>
      </w:sdtEndPr>
      <w:sdtContent>
        <w:p w:rsidR="00B6129A" w:rsidRDefault="00B6129A">
          <w:pPr>
            <w:pStyle w:val="Nadpisobsahu"/>
          </w:pPr>
          <w:r>
            <w:t>Obsah</w:t>
          </w:r>
        </w:p>
        <w:p w:rsidR="00061A03" w:rsidRDefault="00B6129A">
          <w:pPr>
            <w:pStyle w:val="Obsah1"/>
            <w:tabs>
              <w:tab w:val="left" w:pos="440"/>
              <w:tab w:val="right" w:leader="dot" w:pos="9062"/>
            </w:tabs>
            <w:rPr>
              <w:rFonts w:cstheme="minorBidi"/>
              <w:noProof/>
              <w:szCs w:val="22"/>
              <w:lang w:eastAsia="cs-CZ"/>
            </w:rPr>
          </w:pPr>
          <w:r>
            <w:fldChar w:fldCharType="begin"/>
          </w:r>
          <w:r>
            <w:instrText xml:space="preserve"> TOC \o "1-3" \h \z \u </w:instrText>
          </w:r>
          <w:r>
            <w:fldChar w:fldCharType="separate"/>
          </w:r>
          <w:hyperlink w:anchor="_Toc469989342" w:history="1">
            <w:r w:rsidR="00061A03" w:rsidRPr="00B01CFD">
              <w:rPr>
                <w:rStyle w:val="Hypertextovodkaz"/>
                <w:noProof/>
              </w:rPr>
              <w:t>1.</w:t>
            </w:r>
            <w:r w:rsidR="00061A03">
              <w:rPr>
                <w:rFonts w:cstheme="minorBidi"/>
                <w:noProof/>
                <w:szCs w:val="22"/>
                <w:lang w:eastAsia="cs-CZ"/>
              </w:rPr>
              <w:tab/>
            </w:r>
            <w:r w:rsidR="00061A03" w:rsidRPr="00B01CFD">
              <w:rPr>
                <w:rStyle w:val="Hypertextovodkaz"/>
                <w:noProof/>
              </w:rPr>
              <w:t>Vývoj a předpokládaný vývoj počtu obyvatel České republiky</w:t>
            </w:r>
            <w:r w:rsidR="00061A03">
              <w:rPr>
                <w:noProof/>
                <w:webHidden/>
              </w:rPr>
              <w:tab/>
            </w:r>
            <w:r w:rsidR="00061A03">
              <w:rPr>
                <w:noProof/>
                <w:webHidden/>
              </w:rPr>
              <w:fldChar w:fldCharType="begin"/>
            </w:r>
            <w:r w:rsidR="00061A03">
              <w:rPr>
                <w:noProof/>
                <w:webHidden/>
              </w:rPr>
              <w:instrText xml:space="preserve"> PAGEREF _Toc469989342 \h </w:instrText>
            </w:r>
            <w:r w:rsidR="00061A03">
              <w:rPr>
                <w:noProof/>
                <w:webHidden/>
              </w:rPr>
            </w:r>
            <w:r w:rsidR="00061A03">
              <w:rPr>
                <w:noProof/>
                <w:webHidden/>
              </w:rPr>
              <w:fldChar w:fldCharType="separate"/>
            </w:r>
            <w:r w:rsidR="003A35BB">
              <w:rPr>
                <w:noProof/>
                <w:webHidden/>
              </w:rPr>
              <w:t>5</w:t>
            </w:r>
            <w:r w:rsidR="00061A03">
              <w:rPr>
                <w:noProof/>
                <w:webHidden/>
              </w:rPr>
              <w:fldChar w:fldCharType="end"/>
            </w:r>
          </w:hyperlink>
        </w:p>
        <w:p w:rsidR="00061A03" w:rsidRDefault="005D1BD9">
          <w:pPr>
            <w:pStyle w:val="Obsah1"/>
            <w:tabs>
              <w:tab w:val="left" w:pos="440"/>
              <w:tab w:val="right" w:leader="dot" w:pos="9062"/>
            </w:tabs>
            <w:rPr>
              <w:rFonts w:cstheme="minorBidi"/>
              <w:noProof/>
              <w:szCs w:val="22"/>
              <w:lang w:eastAsia="cs-CZ"/>
            </w:rPr>
          </w:pPr>
          <w:hyperlink w:anchor="_Toc469989343" w:history="1">
            <w:r w:rsidR="00061A03" w:rsidRPr="00B01CFD">
              <w:rPr>
                <w:rStyle w:val="Hypertextovodkaz"/>
                <w:noProof/>
              </w:rPr>
              <w:t>2.</w:t>
            </w:r>
            <w:r w:rsidR="00061A03">
              <w:rPr>
                <w:rFonts w:cstheme="minorBidi"/>
                <w:noProof/>
                <w:szCs w:val="22"/>
                <w:lang w:eastAsia="cs-CZ"/>
              </w:rPr>
              <w:tab/>
            </w:r>
            <w:r w:rsidR="00061A03" w:rsidRPr="00B01CFD">
              <w:rPr>
                <w:rStyle w:val="Hypertextovodkaz"/>
                <w:noProof/>
              </w:rPr>
              <w:t>Vývoj a předpokládaný vývoj počtu obyvatel Olomouckého kraje</w:t>
            </w:r>
            <w:r w:rsidR="00061A03">
              <w:rPr>
                <w:noProof/>
                <w:webHidden/>
              </w:rPr>
              <w:tab/>
            </w:r>
            <w:r w:rsidR="00061A03">
              <w:rPr>
                <w:noProof/>
                <w:webHidden/>
              </w:rPr>
              <w:fldChar w:fldCharType="begin"/>
            </w:r>
            <w:r w:rsidR="00061A03">
              <w:rPr>
                <w:noProof/>
                <w:webHidden/>
              </w:rPr>
              <w:instrText xml:space="preserve"> PAGEREF _Toc469989343 \h </w:instrText>
            </w:r>
            <w:r w:rsidR="00061A03">
              <w:rPr>
                <w:noProof/>
                <w:webHidden/>
              </w:rPr>
            </w:r>
            <w:r w:rsidR="00061A03">
              <w:rPr>
                <w:noProof/>
                <w:webHidden/>
              </w:rPr>
              <w:fldChar w:fldCharType="separate"/>
            </w:r>
            <w:r w:rsidR="003A35BB">
              <w:rPr>
                <w:noProof/>
                <w:webHidden/>
              </w:rPr>
              <w:t>6</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44" w:history="1">
            <w:r w:rsidR="00061A03" w:rsidRPr="00B01CFD">
              <w:rPr>
                <w:rStyle w:val="Hypertextovodkaz"/>
                <w:noProof/>
              </w:rPr>
              <w:t>2.1.</w:t>
            </w:r>
            <w:r w:rsidR="00061A03">
              <w:rPr>
                <w:rFonts w:cstheme="minorBidi"/>
                <w:noProof/>
                <w:szCs w:val="22"/>
                <w:lang w:eastAsia="cs-CZ"/>
              </w:rPr>
              <w:tab/>
            </w:r>
            <w:r w:rsidR="00061A03" w:rsidRPr="00B01CFD">
              <w:rPr>
                <w:rStyle w:val="Hypertextovodkaz"/>
                <w:noProof/>
              </w:rPr>
              <w:t>Předpokládaný vývoj počtu obyvatel Olomouckého kraje</w:t>
            </w:r>
            <w:r w:rsidR="00061A03">
              <w:rPr>
                <w:noProof/>
                <w:webHidden/>
              </w:rPr>
              <w:tab/>
            </w:r>
            <w:r w:rsidR="00061A03">
              <w:rPr>
                <w:noProof/>
                <w:webHidden/>
              </w:rPr>
              <w:fldChar w:fldCharType="begin"/>
            </w:r>
            <w:r w:rsidR="00061A03">
              <w:rPr>
                <w:noProof/>
                <w:webHidden/>
              </w:rPr>
              <w:instrText xml:space="preserve"> PAGEREF _Toc469989344 \h </w:instrText>
            </w:r>
            <w:r w:rsidR="00061A03">
              <w:rPr>
                <w:noProof/>
                <w:webHidden/>
              </w:rPr>
            </w:r>
            <w:r w:rsidR="00061A03">
              <w:rPr>
                <w:noProof/>
                <w:webHidden/>
              </w:rPr>
              <w:fldChar w:fldCharType="separate"/>
            </w:r>
            <w:r w:rsidR="003A35BB">
              <w:rPr>
                <w:noProof/>
                <w:webHidden/>
              </w:rPr>
              <w:t>7</w:t>
            </w:r>
            <w:r w:rsidR="00061A03">
              <w:rPr>
                <w:noProof/>
                <w:webHidden/>
              </w:rPr>
              <w:fldChar w:fldCharType="end"/>
            </w:r>
          </w:hyperlink>
        </w:p>
        <w:p w:rsidR="00061A03" w:rsidRDefault="005D1BD9">
          <w:pPr>
            <w:pStyle w:val="Obsah1"/>
            <w:tabs>
              <w:tab w:val="left" w:pos="440"/>
              <w:tab w:val="right" w:leader="dot" w:pos="9062"/>
            </w:tabs>
            <w:rPr>
              <w:rFonts w:cstheme="minorBidi"/>
              <w:noProof/>
              <w:szCs w:val="22"/>
              <w:lang w:eastAsia="cs-CZ"/>
            </w:rPr>
          </w:pPr>
          <w:hyperlink w:anchor="_Toc469989345" w:history="1">
            <w:r w:rsidR="00061A03" w:rsidRPr="00B01CFD">
              <w:rPr>
                <w:rStyle w:val="Hypertextovodkaz"/>
                <w:noProof/>
              </w:rPr>
              <w:t>3.</w:t>
            </w:r>
            <w:r w:rsidR="00061A03">
              <w:rPr>
                <w:rFonts w:cstheme="minorBidi"/>
                <w:noProof/>
                <w:szCs w:val="22"/>
                <w:lang w:eastAsia="cs-CZ"/>
              </w:rPr>
              <w:tab/>
            </w:r>
            <w:r w:rsidR="00061A03" w:rsidRPr="00B01CFD">
              <w:rPr>
                <w:rStyle w:val="Hypertextovodkaz"/>
                <w:noProof/>
              </w:rPr>
              <w:t>Vývoj počtu obyvatel podle správních obvodů obcí s rozšířenou působností</w:t>
            </w:r>
            <w:r w:rsidR="00061A03">
              <w:rPr>
                <w:noProof/>
                <w:webHidden/>
              </w:rPr>
              <w:tab/>
            </w:r>
            <w:r w:rsidR="00061A03">
              <w:rPr>
                <w:noProof/>
                <w:webHidden/>
              </w:rPr>
              <w:fldChar w:fldCharType="begin"/>
            </w:r>
            <w:r w:rsidR="00061A03">
              <w:rPr>
                <w:noProof/>
                <w:webHidden/>
              </w:rPr>
              <w:instrText xml:space="preserve"> PAGEREF _Toc469989345 \h </w:instrText>
            </w:r>
            <w:r w:rsidR="00061A03">
              <w:rPr>
                <w:noProof/>
                <w:webHidden/>
              </w:rPr>
            </w:r>
            <w:r w:rsidR="00061A03">
              <w:rPr>
                <w:noProof/>
                <w:webHidden/>
              </w:rPr>
              <w:fldChar w:fldCharType="separate"/>
            </w:r>
            <w:r w:rsidR="003A35BB">
              <w:rPr>
                <w:noProof/>
                <w:webHidden/>
              </w:rPr>
              <w:t>9</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46" w:history="1">
            <w:r w:rsidR="00061A03" w:rsidRPr="00B01CFD">
              <w:rPr>
                <w:rStyle w:val="Hypertextovodkaz"/>
                <w:noProof/>
              </w:rPr>
              <w:t>3.1.</w:t>
            </w:r>
            <w:r w:rsidR="00061A03">
              <w:rPr>
                <w:rFonts w:cstheme="minorBidi"/>
                <w:noProof/>
                <w:szCs w:val="22"/>
                <w:lang w:eastAsia="cs-CZ"/>
              </w:rPr>
              <w:tab/>
            </w:r>
            <w:r w:rsidR="00061A03" w:rsidRPr="00B01CFD">
              <w:rPr>
                <w:rStyle w:val="Hypertextovodkaz"/>
                <w:noProof/>
              </w:rPr>
              <w:t>SO ORP Jeseník</w:t>
            </w:r>
            <w:r w:rsidR="00061A03">
              <w:rPr>
                <w:noProof/>
                <w:webHidden/>
              </w:rPr>
              <w:tab/>
            </w:r>
            <w:r w:rsidR="00061A03">
              <w:rPr>
                <w:noProof/>
                <w:webHidden/>
              </w:rPr>
              <w:fldChar w:fldCharType="begin"/>
            </w:r>
            <w:r w:rsidR="00061A03">
              <w:rPr>
                <w:noProof/>
                <w:webHidden/>
              </w:rPr>
              <w:instrText xml:space="preserve"> PAGEREF _Toc469989346 \h </w:instrText>
            </w:r>
            <w:r w:rsidR="00061A03">
              <w:rPr>
                <w:noProof/>
                <w:webHidden/>
              </w:rPr>
            </w:r>
            <w:r w:rsidR="00061A03">
              <w:rPr>
                <w:noProof/>
                <w:webHidden/>
              </w:rPr>
              <w:fldChar w:fldCharType="separate"/>
            </w:r>
            <w:r w:rsidR="003A35BB">
              <w:rPr>
                <w:noProof/>
                <w:webHidden/>
              </w:rPr>
              <w:t>10</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47" w:history="1">
            <w:r w:rsidR="00061A03" w:rsidRPr="00B01CFD">
              <w:rPr>
                <w:rStyle w:val="Hypertextovodkaz"/>
                <w:noProof/>
              </w:rPr>
              <w:t>3.2.</w:t>
            </w:r>
            <w:r w:rsidR="00061A03">
              <w:rPr>
                <w:rFonts w:cstheme="minorBidi"/>
                <w:noProof/>
                <w:szCs w:val="22"/>
                <w:lang w:eastAsia="cs-CZ"/>
              </w:rPr>
              <w:tab/>
            </w:r>
            <w:r w:rsidR="00061A03" w:rsidRPr="00B01CFD">
              <w:rPr>
                <w:rStyle w:val="Hypertextovodkaz"/>
                <w:noProof/>
              </w:rPr>
              <w:t>SO ORP Šumperk</w:t>
            </w:r>
            <w:r w:rsidR="00061A03">
              <w:rPr>
                <w:noProof/>
                <w:webHidden/>
              </w:rPr>
              <w:tab/>
            </w:r>
            <w:r w:rsidR="00061A03">
              <w:rPr>
                <w:noProof/>
                <w:webHidden/>
              </w:rPr>
              <w:fldChar w:fldCharType="begin"/>
            </w:r>
            <w:r w:rsidR="00061A03">
              <w:rPr>
                <w:noProof/>
                <w:webHidden/>
              </w:rPr>
              <w:instrText xml:space="preserve"> PAGEREF _Toc469989347 \h </w:instrText>
            </w:r>
            <w:r w:rsidR="00061A03">
              <w:rPr>
                <w:noProof/>
                <w:webHidden/>
              </w:rPr>
            </w:r>
            <w:r w:rsidR="00061A03">
              <w:rPr>
                <w:noProof/>
                <w:webHidden/>
              </w:rPr>
              <w:fldChar w:fldCharType="separate"/>
            </w:r>
            <w:r w:rsidR="003A35BB">
              <w:rPr>
                <w:noProof/>
                <w:webHidden/>
              </w:rPr>
              <w:t>12</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48" w:history="1">
            <w:r w:rsidR="00061A03" w:rsidRPr="00B01CFD">
              <w:rPr>
                <w:rStyle w:val="Hypertextovodkaz"/>
                <w:noProof/>
              </w:rPr>
              <w:t>3.3.</w:t>
            </w:r>
            <w:r w:rsidR="00061A03">
              <w:rPr>
                <w:rFonts w:cstheme="minorBidi"/>
                <w:noProof/>
                <w:szCs w:val="22"/>
                <w:lang w:eastAsia="cs-CZ"/>
              </w:rPr>
              <w:tab/>
            </w:r>
            <w:r w:rsidR="00061A03" w:rsidRPr="00B01CFD">
              <w:rPr>
                <w:rStyle w:val="Hypertextovodkaz"/>
                <w:noProof/>
              </w:rPr>
              <w:t>SO ORP Zábřeh</w:t>
            </w:r>
            <w:r w:rsidR="00061A03">
              <w:rPr>
                <w:noProof/>
                <w:webHidden/>
              </w:rPr>
              <w:tab/>
            </w:r>
            <w:r w:rsidR="00061A03">
              <w:rPr>
                <w:noProof/>
                <w:webHidden/>
              </w:rPr>
              <w:fldChar w:fldCharType="begin"/>
            </w:r>
            <w:r w:rsidR="00061A03">
              <w:rPr>
                <w:noProof/>
                <w:webHidden/>
              </w:rPr>
              <w:instrText xml:space="preserve"> PAGEREF _Toc469989348 \h </w:instrText>
            </w:r>
            <w:r w:rsidR="00061A03">
              <w:rPr>
                <w:noProof/>
                <w:webHidden/>
              </w:rPr>
            </w:r>
            <w:r w:rsidR="00061A03">
              <w:rPr>
                <w:noProof/>
                <w:webHidden/>
              </w:rPr>
              <w:fldChar w:fldCharType="separate"/>
            </w:r>
            <w:r w:rsidR="003A35BB">
              <w:rPr>
                <w:noProof/>
                <w:webHidden/>
              </w:rPr>
              <w:t>14</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49" w:history="1">
            <w:r w:rsidR="00061A03" w:rsidRPr="00B01CFD">
              <w:rPr>
                <w:rStyle w:val="Hypertextovodkaz"/>
                <w:noProof/>
              </w:rPr>
              <w:t>3.4.</w:t>
            </w:r>
            <w:r w:rsidR="00061A03">
              <w:rPr>
                <w:rFonts w:cstheme="minorBidi"/>
                <w:noProof/>
                <w:szCs w:val="22"/>
                <w:lang w:eastAsia="cs-CZ"/>
              </w:rPr>
              <w:tab/>
            </w:r>
            <w:r w:rsidR="00061A03" w:rsidRPr="00B01CFD">
              <w:rPr>
                <w:rStyle w:val="Hypertextovodkaz"/>
                <w:noProof/>
              </w:rPr>
              <w:t>SO ORP Mohelnice</w:t>
            </w:r>
            <w:r w:rsidR="00061A03">
              <w:rPr>
                <w:noProof/>
                <w:webHidden/>
              </w:rPr>
              <w:tab/>
            </w:r>
            <w:r w:rsidR="00061A03">
              <w:rPr>
                <w:noProof/>
                <w:webHidden/>
              </w:rPr>
              <w:fldChar w:fldCharType="begin"/>
            </w:r>
            <w:r w:rsidR="00061A03">
              <w:rPr>
                <w:noProof/>
                <w:webHidden/>
              </w:rPr>
              <w:instrText xml:space="preserve"> PAGEREF _Toc469989349 \h </w:instrText>
            </w:r>
            <w:r w:rsidR="00061A03">
              <w:rPr>
                <w:noProof/>
                <w:webHidden/>
              </w:rPr>
            </w:r>
            <w:r w:rsidR="00061A03">
              <w:rPr>
                <w:noProof/>
                <w:webHidden/>
              </w:rPr>
              <w:fldChar w:fldCharType="separate"/>
            </w:r>
            <w:r w:rsidR="003A35BB">
              <w:rPr>
                <w:noProof/>
                <w:webHidden/>
              </w:rPr>
              <w:t>16</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50" w:history="1">
            <w:r w:rsidR="00061A03" w:rsidRPr="00B01CFD">
              <w:rPr>
                <w:rStyle w:val="Hypertextovodkaz"/>
                <w:noProof/>
              </w:rPr>
              <w:t>3.5.</w:t>
            </w:r>
            <w:r w:rsidR="00061A03">
              <w:rPr>
                <w:rFonts w:cstheme="minorBidi"/>
                <w:noProof/>
                <w:szCs w:val="22"/>
                <w:lang w:eastAsia="cs-CZ"/>
              </w:rPr>
              <w:tab/>
            </w:r>
            <w:r w:rsidR="00061A03" w:rsidRPr="00B01CFD">
              <w:rPr>
                <w:rStyle w:val="Hypertextovodkaz"/>
                <w:noProof/>
              </w:rPr>
              <w:t>SO ORP Litovel</w:t>
            </w:r>
            <w:r w:rsidR="00061A03">
              <w:rPr>
                <w:noProof/>
                <w:webHidden/>
              </w:rPr>
              <w:tab/>
            </w:r>
            <w:r w:rsidR="00061A03">
              <w:rPr>
                <w:noProof/>
                <w:webHidden/>
              </w:rPr>
              <w:fldChar w:fldCharType="begin"/>
            </w:r>
            <w:r w:rsidR="00061A03">
              <w:rPr>
                <w:noProof/>
                <w:webHidden/>
              </w:rPr>
              <w:instrText xml:space="preserve"> PAGEREF _Toc469989350 \h </w:instrText>
            </w:r>
            <w:r w:rsidR="00061A03">
              <w:rPr>
                <w:noProof/>
                <w:webHidden/>
              </w:rPr>
            </w:r>
            <w:r w:rsidR="00061A03">
              <w:rPr>
                <w:noProof/>
                <w:webHidden/>
              </w:rPr>
              <w:fldChar w:fldCharType="separate"/>
            </w:r>
            <w:r w:rsidR="003A35BB">
              <w:rPr>
                <w:noProof/>
                <w:webHidden/>
              </w:rPr>
              <w:t>18</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51" w:history="1">
            <w:r w:rsidR="00061A03" w:rsidRPr="00B01CFD">
              <w:rPr>
                <w:rStyle w:val="Hypertextovodkaz"/>
                <w:noProof/>
              </w:rPr>
              <w:t>3.6.</w:t>
            </w:r>
            <w:r w:rsidR="00061A03">
              <w:rPr>
                <w:rFonts w:cstheme="minorBidi"/>
                <w:noProof/>
                <w:szCs w:val="22"/>
                <w:lang w:eastAsia="cs-CZ"/>
              </w:rPr>
              <w:tab/>
            </w:r>
            <w:r w:rsidR="00061A03" w:rsidRPr="00B01CFD">
              <w:rPr>
                <w:rStyle w:val="Hypertextovodkaz"/>
                <w:noProof/>
              </w:rPr>
              <w:t>SO ORP Uničov</w:t>
            </w:r>
            <w:r w:rsidR="00061A03">
              <w:rPr>
                <w:noProof/>
                <w:webHidden/>
              </w:rPr>
              <w:tab/>
            </w:r>
            <w:r w:rsidR="00061A03">
              <w:rPr>
                <w:noProof/>
                <w:webHidden/>
              </w:rPr>
              <w:fldChar w:fldCharType="begin"/>
            </w:r>
            <w:r w:rsidR="00061A03">
              <w:rPr>
                <w:noProof/>
                <w:webHidden/>
              </w:rPr>
              <w:instrText xml:space="preserve"> PAGEREF _Toc469989351 \h </w:instrText>
            </w:r>
            <w:r w:rsidR="00061A03">
              <w:rPr>
                <w:noProof/>
                <w:webHidden/>
              </w:rPr>
            </w:r>
            <w:r w:rsidR="00061A03">
              <w:rPr>
                <w:noProof/>
                <w:webHidden/>
              </w:rPr>
              <w:fldChar w:fldCharType="separate"/>
            </w:r>
            <w:r w:rsidR="003A35BB">
              <w:rPr>
                <w:noProof/>
                <w:webHidden/>
              </w:rPr>
              <w:t>20</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52" w:history="1">
            <w:r w:rsidR="00061A03" w:rsidRPr="00B01CFD">
              <w:rPr>
                <w:rStyle w:val="Hypertextovodkaz"/>
                <w:noProof/>
              </w:rPr>
              <w:t>3.7.</w:t>
            </w:r>
            <w:r w:rsidR="00061A03">
              <w:rPr>
                <w:rFonts w:cstheme="minorBidi"/>
                <w:noProof/>
                <w:szCs w:val="22"/>
                <w:lang w:eastAsia="cs-CZ"/>
              </w:rPr>
              <w:tab/>
            </w:r>
            <w:r w:rsidR="00061A03" w:rsidRPr="00B01CFD">
              <w:rPr>
                <w:rStyle w:val="Hypertextovodkaz"/>
                <w:noProof/>
              </w:rPr>
              <w:t>SO ORP Šternberk</w:t>
            </w:r>
            <w:r w:rsidR="00061A03">
              <w:rPr>
                <w:noProof/>
                <w:webHidden/>
              </w:rPr>
              <w:tab/>
            </w:r>
            <w:r w:rsidR="00061A03">
              <w:rPr>
                <w:noProof/>
                <w:webHidden/>
              </w:rPr>
              <w:fldChar w:fldCharType="begin"/>
            </w:r>
            <w:r w:rsidR="00061A03">
              <w:rPr>
                <w:noProof/>
                <w:webHidden/>
              </w:rPr>
              <w:instrText xml:space="preserve"> PAGEREF _Toc469989352 \h </w:instrText>
            </w:r>
            <w:r w:rsidR="00061A03">
              <w:rPr>
                <w:noProof/>
                <w:webHidden/>
              </w:rPr>
            </w:r>
            <w:r w:rsidR="00061A03">
              <w:rPr>
                <w:noProof/>
                <w:webHidden/>
              </w:rPr>
              <w:fldChar w:fldCharType="separate"/>
            </w:r>
            <w:r w:rsidR="003A35BB">
              <w:rPr>
                <w:noProof/>
                <w:webHidden/>
              </w:rPr>
              <w:t>22</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53" w:history="1">
            <w:r w:rsidR="00061A03" w:rsidRPr="00B01CFD">
              <w:rPr>
                <w:rStyle w:val="Hypertextovodkaz"/>
                <w:noProof/>
              </w:rPr>
              <w:t>3.8.</w:t>
            </w:r>
            <w:r w:rsidR="00061A03">
              <w:rPr>
                <w:rFonts w:cstheme="minorBidi"/>
                <w:noProof/>
                <w:szCs w:val="22"/>
                <w:lang w:eastAsia="cs-CZ"/>
              </w:rPr>
              <w:tab/>
            </w:r>
            <w:r w:rsidR="00061A03" w:rsidRPr="00B01CFD">
              <w:rPr>
                <w:rStyle w:val="Hypertextovodkaz"/>
                <w:noProof/>
              </w:rPr>
              <w:t>SO ORP Olomouc</w:t>
            </w:r>
            <w:r w:rsidR="00061A03">
              <w:rPr>
                <w:noProof/>
                <w:webHidden/>
              </w:rPr>
              <w:tab/>
            </w:r>
            <w:r w:rsidR="00061A03">
              <w:rPr>
                <w:noProof/>
                <w:webHidden/>
              </w:rPr>
              <w:fldChar w:fldCharType="begin"/>
            </w:r>
            <w:r w:rsidR="00061A03">
              <w:rPr>
                <w:noProof/>
                <w:webHidden/>
              </w:rPr>
              <w:instrText xml:space="preserve"> PAGEREF _Toc469989353 \h </w:instrText>
            </w:r>
            <w:r w:rsidR="00061A03">
              <w:rPr>
                <w:noProof/>
                <w:webHidden/>
              </w:rPr>
            </w:r>
            <w:r w:rsidR="00061A03">
              <w:rPr>
                <w:noProof/>
                <w:webHidden/>
              </w:rPr>
              <w:fldChar w:fldCharType="separate"/>
            </w:r>
            <w:r w:rsidR="003A35BB">
              <w:rPr>
                <w:noProof/>
                <w:webHidden/>
              </w:rPr>
              <w:t>24</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54" w:history="1">
            <w:r w:rsidR="00061A03" w:rsidRPr="00B01CFD">
              <w:rPr>
                <w:rStyle w:val="Hypertextovodkaz"/>
                <w:noProof/>
              </w:rPr>
              <w:t>3.9.</w:t>
            </w:r>
            <w:r w:rsidR="00061A03">
              <w:rPr>
                <w:rFonts w:cstheme="minorBidi"/>
                <w:noProof/>
                <w:szCs w:val="22"/>
                <w:lang w:eastAsia="cs-CZ"/>
              </w:rPr>
              <w:tab/>
            </w:r>
            <w:r w:rsidR="00061A03" w:rsidRPr="00B01CFD">
              <w:rPr>
                <w:rStyle w:val="Hypertextovodkaz"/>
                <w:noProof/>
              </w:rPr>
              <w:t>SO ORP Prostějov</w:t>
            </w:r>
            <w:r w:rsidR="00061A03">
              <w:rPr>
                <w:noProof/>
                <w:webHidden/>
              </w:rPr>
              <w:tab/>
            </w:r>
            <w:r w:rsidR="00061A03">
              <w:rPr>
                <w:noProof/>
                <w:webHidden/>
              </w:rPr>
              <w:fldChar w:fldCharType="begin"/>
            </w:r>
            <w:r w:rsidR="00061A03">
              <w:rPr>
                <w:noProof/>
                <w:webHidden/>
              </w:rPr>
              <w:instrText xml:space="preserve"> PAGEREF _Toc469989354 \h </w:instrText>
            </w:r>
            <w:r w:rsidR="00061A03">
              <w:rPr>
                <w:noProof/>
                <w:webHidden/>
              </w:rPr>
            </w:r>
            <w:r w:rsidR="00061A03">
              <w:rPr>
                <w:noProof/>
                <w:webHidden/>
              </w:rPr>
              <w:fldChar w:fldCharType="separate"/>
            </w:r>
            <w:r w:rsidR="003A35BB">
              <w:rPr>
                <w:noProof/>
                <w:webHidden/>
              </w:rPr>
              <w:t>26</w:t>
            </w:r>
            <w:r w:rsidR="00061A03">
              <w:rPr>
                <w:noProof/>
                <w:webHidden/>
              </w:rPr>
              <w:fldChar w:fldCharType="end"/>
            </w:r>
          </w:hyperlink>
        </w:p>
        <w:p w:rsidR="00061A03" w:rsidRDefault="005D1BD9">
          <w:pPr>
            <w:pStyle w:val="Obsah2"/>
            <w:tabs>
              <w:tab w:val="left" w:pos="1100"/>
              <w:tab w:val="right" w:leader="dot" w:pos="9062"/>
            </w:tabs>
            <w:rPr>
              <w:rFonts w:cstheme="minorBidi"/>
              <w:noProof/>
              <w:szCs w:val="22"/>
              <w:lang w:eastAsia="cs-CZ"/>
            </w:rPr>
          </w:pPr>
          <w:hyperlink w:anchor="_Toc469989355" w:history="1">
            <w:r w:rsidR="00061A03" w:rsidRPr="00B01CFD">
              <w:rPr>
                <w:rStyle w:val="Hypertextovodkaz"/>
                <w:noProof/>
              </w:rPr>
              <w:t>3.10.</w:t>
            </w:r>
            <w:r w:rsidR="00061A03">
              <w:rPr>
                <w:rFonts w:cstheme="minorBidi"/>
                <w:noProof/>
                <w:szCs w:val="22"/>
                <w:lang w:eastAsia="cs-CZ"/>
              </w:rPr>
              <w:tab/>
            </w:r>
            <w:r w:rsidR="00061A03" w:rsidRPr="00B01CFD">
              <w:rPr>
                <w:rStyle w:val="Hypertextovodkaz"/>
                <w:noProof/>
              </w:rPr>
              <w:t>SO ORP Konice</w:t>
            </w:r>
            <w:r w:rsidR="00061A03">
              <w:rPr>
                <w:noProof/>
                <w:webHidden/>
              </w:rPr>
              <w:tab/>
            </w:r>
            <w:r w:rsidR="00061A03">
              <w:rPr>
                <w:noProof/>
                <w:webHidden/>
              </w:rPr>
              <w:fldChar w:fldCharType="begin"/>
            </w:r>
            <w:r w:rsidR="00061A03">
              <w:rPr>
                <w:noProof/>
                <w:webHidden/>
              </w:rPr>
              <w:instrText xml:space="preserve"> PAGEREF _Toc469989355 \h </w:instrText>
            </w:r>
            <w:r w:rsidR="00061A03">
              <w:rPr>
                <w:noProof/>
                <w:webHidden/>
              </w:rPr>
            </w:r>
            <w:r w:rsidR="00061A03">
              <w:rPr>
                <w:noProof/>
                <w:webHidden/>
              </w:rPr>
              <w:fldChar w:fldCharType="separate"/>
            </w:r>
            <w:r w:rsidR="003A35BB">
              <w:rPr>
                <w:noProof/>
                <w:webHidden/>
              </w:rPr>
              <w:t>28</w:t>
            </w:r>
            <w:r w:rsidR="00061A03">
              <w:rPr>
                <w:noProof/>
                <w:webHidden/>
              </w:rPr>
              <w:fldChar w:fldCharType="end"/>
            </w:r>
          </w:hyperlink>
        </w:p>
        <w:p w:rsidR="00061A03" w:rsidRDefault="005D1BD9">
          <w:pPr>
            <w:pStyle w:val="Obsah2"/>
            <w:tabs>
              <w:tab w:val="left" w:pos="1100"/>
              <w:tab w:val="right" w:leader="dot" w:pos="9062"/>
            </w:tabs>
            <w:rPr>
              <w:rFonts w:cstheme="minorBidi"/>
              <w:noProof/>
              <w:szCs w:val="22"/>
              <w:lang w:eastAsia="cs-CZ"/>
            </w:rPr>
          </w:pPr>
          <w:hyperlink w:anchor="_Toc469989356" w:history="1">
            <w:r w:rsidR="00061A03" w:rsidRPr="00B01CFD">
              <w:rPr>
                <w:rStyle w:val="Hypertextovodkaz"/>
                <w:noProof/>
              </w:rPr>
              <w:t>3.11.</w:t>
            </w:r>
            <w:r w:rsidR="00061A03">
              <w:rPr>
                <w:rFonts w:cstheme="minorBidi"/>
                <w:noProof/>
                <w:szCs w:val="22"/>
                <w:lang w:eastAsia="cs-CZ"/>
              </w:rPr>
              <w:tab/>
            </w:r>
            <w:r w:rsidR="00061A03" w:rsidRPr="00B01CFD">
              <w:rPr>
                <w:rStyle w:val="Hypertextovodkaz"/>
                <w:noProof/>
              </w:rPr>
              <w:t>SO ORP Přerov</w:t>
            </w:r>
            <w:r w:rsidR="00061A03">
              <w:rPr>
                <w:noProof/>
                <w:webHidden/>
              </w:rPr>
              <w:tab/>
            </w:r>
            <w:r w:rsidR="00061A03">
              <w:rPr>
                <w:noProof/>
                <w:webHidden/>
              </w:rPr>
              <w:fldChar w:fldCharType="begin"/>
            </w:r>
            <w:r w:rsidR="00061A03">
              <w:rPr>
                <w:noProof/>
                <w:webHidden/>
              </w:rPr>
              <w:instrText xml:space="preserve"> PAGEREF _Toc469989356 \h </w:instrText>
            </w:r>
            <w:r w:rsidR="00061A03">
              <w:rPr>
                <w:noProof/>
                <w:webHidden/>
              </w:rPr>
            </w:r>
            <w:r w:rsidR="00061A03">
              <w:rPr>
                <w:noProof/>
                <w:webHidden/>
              </w:rPr>
              <w:fldChar w:fldCharType="separate"/>
            </w:r>
            <w:r w:rsidR="003A35BB">
              <w:rPr>
                <w:noProof/>
                <w:webHidden/>
              </w:rPr>
              <w:t>30</w:t>
            </w:r>
            <w:r w:rsidR="00061A03">
              <w:rPr>
                <w:noProof/>
                <w:webHidden/>
              </w:rPr>
              <w:fldChar w:fldCharType="end"/>
            </w:r>
          </w:hyperlink>
        </w:p>
        <w:p w:rsidR="00061A03" w:rsidRDefault="005D1BD9">
          <w:pPr>
            <w:pStyle w:val="Obsah2"/>
            <w:tabs>
              <w:tab w:val="left" w:pos="1100"/>
              <w:tab w:val="right" w:leader="dot" w:pos="9062"/>
            </w:tabs>
            <w:rPr>
              <w:rFonts w:cstheme="minorBidi"/>
              <w:noProof/>
              <w:szCs w:val="22"/>
              <w:lang w:eastAsia="cs-CZ"/>
            </w:rPr>
          </w:pPr>
          <w:hyperlink w:anchor="_Toc469989357" w:history="1">
            <w:r w:rsidR="00061A03" w:rsidRPr="00B01CFD">
              <w:rPr>
                <w:rStyle w:val="Hypertextovodkaz"/>
                <w:noProof/>
              </w:rPr>
              <w:t>3.12.</w:t>
            </w:r>
            <w:r w:rsidR="00061A03">
              <w:rPr>
                <w:rFonts w:cstheme="minorBidi"/>
                <w:noProof/>
                <w:szCs w:val="22"/>
                <w:lang w:eastAsia="cs-CZ"/>
              </w:rPr>
              <w:tab/>
            </w:r>
            <w:r w:rsidR="00061A03" w:rsidRPr="00B01CFD">
              <w:rPr>
                <w:rStyle w:val="Hypertextovodkaz"/>
                <w:noProof/>
              </w:rPr>
              <w:t>SO ORP Lipník nad Bečvou</w:t>
            </w:r>
            <w:r w:rsidR="00061A03">
              <w:rPr>
                <w:noProof/>
                <w:webHidden/>
              </w:rPr>
              <w:tab/>
            </w:r>
            <w:r w:rsidR="00061A03">
              <w:rPr>
                <w:noProof/>
                <w:webHidden/>
              </w:rPr>
              <w:fldChar w:fldCharType="begin"/>
            </w:r>
            <w:r w:rsidR="00061A03">
              <w:rPr>
                <w:noProof/>
                <w:webHidden/>
              </w:rPr>
              <w:instrText xml:space="preserve"> PAGEREF _Toc469989357 \h </w:instrText>
            </w:r>
            <w:r w:rsidR="00061A03">
              <w:rPr>
                <w:noProof/>
                <w:webHidden/>
              </w:rPr>
            </w:r>
            <w:r w:rsidR="00061A03">
              <w:rPr>
                <w:noProof/>
                <w:webHidden/>
              </w:rPr>
              <w:fldChar w:fldCharType="separate"/>
            </w:r>
            <w:r w:rsidR="003A35BB">
              <w:rPr>
                <w:noProof/>
                <w:webHidden/>
              </w:rPr>
              <w:t>32</w:t>
            </w:r>
            <w:r w:rsidR="00061A03">
              <w:rPr>
                <w:noProof/>
                <w:webHidden/>
              </w:rPr>
              <w:fldChar w:fldCharType="end"/>
            </w:r>
          </w:hyperlink>
        </w:p>
        <w:p w:rsidR="00061A03" w:rsidRDefault="005D1BD9">
          <w:pPr>
            <w:pStyle w:val="Obsah2"/>
            <w:tabs>
              <w:tab w:val="left" w:pos="1100"/>
              <w:tab w:val="right" w:leader="dot" w:pos="9062"/>
            </w:tabs>
            <w:rPr>
              <w:rFonts w:cstheme="minorBidi"/>
              <w:noProof/>
              <w:szCs w:val="22"/>
              <w:lang w:eastAsia="cs-CZ"/>
            </w:rPr>
          </w:pPr>
          <w:hyperlink w:anchor="_Toc469989358" w:history="1">
            <w:r w:rsidR="00061A03" w:rsidRPr="00B01CFD">
              <w:rPr>
                <w:rStyle w:val="Hypertextovodkaz"/>
                <w:noProof/>
              </w:rPr>
              <w:t>3.13.</w:t>
            </w:r>
            <w:r w:rsidR="00061A03">
              <w:rPr>
                <w:rFonts w:cstheme="minorBidi"/>
                <w:noProof/>
                <w:szCs w:val="22"/>
                <w:lang w:eastAsia="cs-CZ"/>
              </w:rPr>
              <w:tab/>
            </w:r>
            <w:r w:rsidR="00061A03" w:rsidRPr="00B01CFD">
              <w:rPr>
                <w:rStyle w:val="Hypertextovodkaz"/>
                <w:noProof/>
              </w:rPr>
              <w:t>SO ORP Hranice</w:t>
            </w:r>
            <w:r w:rsidR="00061A03">
              <w:rPr>
                <w:noProof/>
                <w:webHidden/>
              </w:rPr>
              <w:tab/>
            </w:r>
            <w:r w:rsidR="00061A03">
              <w:rPr>
                <w:noProof/>
                <w:webHidden/>
              </w:rPr>
              <w:fldChar w:fldCharType="begin"/>
            </w:r>
            <w:r w:rsidR="00061A03">
              <w:rPr>
                <w:noProof/>
                <w:webHidden/>
              </w:rPr>
              <w:instrText xml:space="preserve"> PAGEREF _Toc469989358 \h </w:instrText>
            </w:r>
            <w:r w:rsidR="00061A03">
              <w:rPr>
                <w:noProof/>
                <w:webHidden/>
              </w:rPr>
            </w:r>
            <w:r w:rsidR="00061A03">
              <w:rPr>
                <w:noProof/>
                <w:webHidden/>
              </w:rPr>
              <w:fldChar w:fldCharType="separate"/>
            </w:r>
            <w:r w:rsidR="003A35BB">
              <w:rPr>
                <w:noProof/>
                <w:webHidden/>
              </w:rPr>
              <w:t>34</w:t>
            </w:r>
            <w:r w:rsidR="00061A03">
              <w:rPr>
                <w:noProof/>
                <w:webHidden/>
              </w:rPr>
              <w:fldChar w:fldCharType="end"/>
            </w:r>
          </w:hyperlink>
        </w:p>
        <w:p w:rsidR="00061A03" w:rsidRDefault="005D1BD9">
          <w:pPr>
            <w:pStyle w:val="Obsah1"/>
            <w:tabs>
              <w:tab w:val="left" w:pos="440"/>
              <w:tab w:val="right" w:leader="dot" w:pos="9062"/>
            </w:tabs>
            <w:rPr>
              <w:rFonts w:cstheme="minorBidi"/>
              <w:noProof/>
              <w:szCs w:val="22"/>
              <w:lang w:eastAsia="cs-CZ"/>
            </w:rPr>
          </w:pPr>
          <w:hyperlink w:anchor="_Toc469989359" w:history="1">
            <w:r w:rsidR="00061A03" w:rsidRPr="00B01CFD">
              <w:rPr>
                <w:rStyle w:val="Hypertextovodkaz"/>
                <w:noProof/>
              </w:rPr>
              <w:t>4.</w:t>
            </w:r>
            <w:r w:rsidR="00061A03">
              <w:rPr>
                <w:rFonts w:cstheme="minorBidi"/>
                <w:noProof/>
                <w:szCs w:val="22"/>
                <w:lang w:eastAsia="cs-CZ"/>
              </w:rPr>
              <w:tab/>
            </w:r>
            <w:r w:rsidR="00061A03" w:rsidRPr="00B01CFD">
              <w:rPr>
                <w:rStyle w:val="Hypertextovodkaz"/>
                <w:noProof/>
              </w:rPr>
              <w:t>Počet obyvatel v obcích Olomouckého kraje</w:t>
            </w:r>
            <w:r w:rsidR="00061A03">
              <w:rPr>
                <w:noProof/>
                <w:webHidden/>
              </w:rPr>
              <w:tab/>
            </w:r>
            <w:r w:rsidR="00061A03">
              <w:rPr>
                <w:noProof/>
                <w:webHidden/>
              </w:rPr>
              <w:fldChar w:fldCharType="begin"/>
            </w:r>
            <w:r w:rsidR="00061A03">
              <w:rPr>
                <w:noProof/>
                <w:webHidden/>
              </w:rPr>
              <w:instrText xml:space="preserve"> PAGEREF _Toc469989359 \h </w:instrText>
            </w:r>
            <w:r w:rsidR="00061A03">
              <w:rPr>
                <w:noProof/>
                <w:webHidden/>
              </w:rPr>
            </w:r>
            <w:r w:rsidR="00061A03">
              <w:rPr>
                <w:noProof/>
                <w:webHidden/>
              </w:rPr>
              <w:fldChar w:fldCharType="separate"/>
            </w:r>
            <w:r w:rsidR="003A35BB">
              <w:rPr>
                <w:noProof/>
                <w:webHidden/>
              </w:rPr>
              <w:t>36</w:t>
            </w:r>
            <w:r w:rsidR="00061A03">
              <w:rPr>
                <w:noProof/>
                <w:webHidden/>
              </w:rPr>
              <w:fldChar w:fldCharType="end"/>
            </w:r>
          </w:hyperlink>
        </w:p>
        <w:p w:rsidR="00061A03" w:rsidRDefault="005D1BD9">
          <w:pPr>
            <w:pStyle w:val="Obsah1"/>
            <w:tabs>
              <w:tab w:val="left" w:pos="440"/>
              <w:tab w:val="right" w:leader="dot" w:pos="9062"/>
            </w:tabs>
            <w:rPr>
              <w:rFonts w:cstheme="minorBidi"/>
              <w:noProof/>
              <w:szCs w:val="22"/>
              <w:lang w:eastAsia="cs-CZ"/>
            </w:rPr>
          </w:pPr>
          <w:hyperlink w:anchor="_Toc469989360" w:history="1">
            <w:r w:rsidR="00061A03" w:rsidRPr="00B01CFD">
              <w:rPr>
                <w:rStyle w:val="Hypertextovodkaz"/>
                <w:noProof/>
              </w:rPr>
              <w:t>5.</w:t>
            </w:r>
            <w:r w:rsidR="00061A03">
              <w:rPr>
                <w:rFonts w:cstheme="minorBidi"/>
                <w:noProof/>
                <w:szCs w:val="22"/>
                <w:lang w:eastAsia="cs-CZ"/>
              </w:rPr>
              <w:tab/>
            </w:r>
            <w:r w:rsidR="00061A03" w:rsidRPr="00B01CFD">
              <w:rPr>
                <w:rStyle w:val="Hypertextovodkaz"/>
                <w:noProof/>
              </w:rPr>
              <w:t>Závěr</w:t>
            </w:r>
            <w:r w:rsidR="00061A03">
              <w:rPr>
                <w:noProof/>
                <w:webHidden/>
              </w:rPr>
              <w:tab/>
            </w:r>
            <w:r w:rsidR="00061A03">
              <w:rPr>
                <w:noProof/>
                <w:webHidden/>
              </w:rPr>
              <w:fldChar w:fldCharType="begin"/>
            </w:r>
            <w:r w:rsidR="00061A03">
              <w:rPr>
                <w:noProof/>
                <w:webHidden/>
              </w:rPr>
              <w:instrText xml:space="preserve"> PAGEREF _Toc469989360 \h </w:instrText>
            </w:r>
            <w:r w:rsidR="00061A03">
              <w:rPr>
                <w:noProof/>
                <w:webHidden/>
              </w:rPr>
            </w:r>
            <w:r w:rsidR="00061A03">
              <w:rPr>
                <w:noProof/>
                <w:webHidden/>
              </w:rPr>
              <w:fldChar w:fldCharType="separate"/>
            </w:r>
            <w:r w:rsidR="003A35BB">
              <w:rPr>
                <w:noProof/>
                <w:webHidden/>
              </w:rPr>
              <w:t>37</w:t>
            </w:r>
            <w:r w:rsidR="00061A03">
              <w:rPr>
                <w:noProof/>
                <w:webHidden/>
              </w:rPr>
              <w:fldChar w:fldCharType="end"/>
            </w:r>
          </w:hyperlink>
        </w:p>
        <w:p w:rsidR="00061A03" w:rsidRDefault="005D1BD9">
          <w:pPr>
            <w:pStyle w:val="Obsah1"/>
            <w:tabs>
              <w:tab w:val="left" w:pos="440"/>
              <w:tab w:val="right" w:leader="dot" w:pos="9062"/>
            </w:tabs>
            <w:rPr>
              <w:rFonts w:cstheme="minorBidi"/>
              <w:noProof/>
              <w:szCs w:val="22"/>
              <w:lang w:eastAsia="cs-CZ"/>
            </w:rPr>
          </w:pPr>
          <w:hyperlink w:anchor="_Toc469989361" w:history="1">
            <w:r w:rsidR="00061A03" w:rsidRPr="00B01CFD">
              <w:rPr>
                <w:rStyle w:val="Hypertextovodkaz"/>
                <w:noProof/>
              </w:rPr>
              <w:t>6.</w:t>
            </w:r>
            <w:r w:rsidR="00061A03">
              <w:rPr>
                <w:rFonts w:cstheme="minorBidi"/>
                <w:noProof/>
                <w:szCs w:val="22"/>
                <w:lang w:eastAsia="cs-CZ"/>
              </w:rPr>
              <w:tab/>
            </w:r>
            <w:r w:rsidR="00061A03" w:rsidRPr="00B01CFD">
              <w:rPr>
                <w:rStyle w:val="Hypertextovodkaz"/>
                <w:noProof/>
              </w:rPr>
              <w:t>Vstupní podklady</w:t>
            </w:r>
            <w:r w:rsidR="00061A03">
              <w:rPr>
                <w:noProof/>
                <w:webHidden/>
              </w:rPr>
              <w:tab/>
            </w:r>
            <w:r w:rsidR="00061A03">
              <w:rPr>
                <w:noProof/>
                <w:webHidden/>
              </w:rPr>
              <w:fldChar w:fldCharType="begin"/>
            </w:r>
            <w:r w:rsidR="00061A03">
              <w:rPr>
                <w:noProof/>
                <w:webHidden/>
              </w:rPr>
              <w:instrText xml:space="preserve"> PAGEREF _Toc469989361 \h </w:instrText>
            </w:r>
            <w:r w:rsidR="00061A03">
              <w:rPr>
                <w:noProof/>
                <w:webHidden/>
              </w:rPr>
            </w:r>
            <w:r w:rsidR="00061A03">
              <w:rPr>
                <w:noProof/>
                <w:webHidden/>
              </w:rPr>
              <w:fldChar w:fldCharType="separate"/>
            </w:r>
            <w:r w:rsidR="003A35BB">
              <w:rPr>
                <w:noProof/>
                <w:webHidden/>
              </w:rPr>
              <w:t>38</w:t>
            </w:r>
            <w:r w:rsidR="00061A03">
              <w:rPr>
                <w:noProof/>
                <w:webHidden/>
              </w:rPr>
              <w:fldChar w:fldCharType="end"/>
            </w:r>
          </w:hyperlink>
        </w:p>
        <w:p w:rsidR="00061A03" w:rsidRDefault="005D1BD9">
          <w:pPr>
            <w:pStyle w:val="Obsah1"/>
            <w:tabs>
              <w:tab w:val="left" w:pos="440"/>
              <w:tab w:val="right" w:leader="dot" w:pos="9062"/>
            </w:tabs>
            <w:rPr>
              <w:rFonts w:cstheme="minorBidi"/>
              <w:noProof/>
              <w:szCs w:val="22"/>
              <w:lang w:eastAsia="cs-CZ"/>
            </w:rPr>
          </w:pPr>
          <w:hyperlink w:anchor="_Toc469989362" w:history="1">
            <w:r w:rsidR="00061A03" w:rsidRPr="00B01CFD">
              <w:rPr>
                <w:rStyle w:val="Hypertextovodkaz"/>
                <w:noProof/>
              </w:rPr>
              <w:t>7.</w:t>
            </w:r>
            <w:r w:rsidR="00061A03">
              <w:rPr>
                <w:rFonts w:cstheme="minorBidi"/>
                <w:noProof/>
                <w:szCs w:val="22"/>
                <w:lang w:eastAsia="cs-CZ"/>
              </w:rPr>
              <w:tab/>
            </w:r>
            <w:r w:rsidR="00061A03" w:rsidRPr="00B01CFD">
              <w:rPr>
                <w:rStyle w:val="Hypertextovodkaz"/>
                <w:noProof/>
              </w:rPr>
              <w:t>Seznam grafů, obrázků a tabulek</w:t>
            </w:r>
            <w:r w:rsidR="00061A03">
              <w:rPr>
                <w:noProof/>
                <w:webHidden/>
              </w:rPr>
              <w:tab/>
            </w:r>
            <w:r w:rsidR="00061A03">
              <w:rPr>
                <w:noProof/>
                <w:webHidden/>
              </w:rPr>
              <w:fldChar w:fldCharType="begin"/>
            </w:r>
            <w:r w:rsidR="00061A03">
              <w:rPr>
                <w:noProof/>
                <w:webHidden/>
              </w:rPr>
              <w:instrText xml:space="preserve"> PAGEREF _Toc469989362 \h </w:instrText>
            </w:r>
            <w:r w:rsidR="00061A03">
              <w:rPr>
                <w:noProof/>
                <w:webHidden/>
              </w:rPr>
            </w:r>
            <w:r w:rsidR="00061A03">
              <w:rPr>
                <w:noProof/>
                <w:webHidden/>
              </w:rPr>
              <w:fldChar w:fldCharType="separate"/>
            </w:r>
            <w:r w:rsidR="003A35BB">
              <w:rPr>
                <w:noProof/>
                <w:webHidden/>
              </w:rPr>
              <w:t>39</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63" w:history="1">
            <w:r w:rsidR="00061A03" w:rsidRPr="00B01CFD">
              <w:rPr>
                <w:rStyle w:val="Hypertextovodkaz"/>
                <w:noProof/>
              </w:rPr>
              <w:t>7.1.</w:t>
            </w:r>
            <w:r w:rsidR="00061A03">
              <w:rPr>
                <w:rFonts w:cstheme="minorBidi"/>
                <w:noProof/>
                <w:szCs w:val="22"/>
                <w:lang w:eastAsia="cs-CZ"/>
              </w:rPr>
              <w:tab/>
            </w:r>
            <w:r w:rsidR="00061A03" w:rsidRPr="00B01CFD">
              <w:rPr>
                <w:rStyle w:val="Hypertextovodkaz"/>
                <w:noProof/>
              </w:rPr>
              <w:t>Seznam grafů</w:t>
            </w:r>
            <w:r w:rsidR="00061A03">
              <w:rPr>
                <w:noProof/>
                <w:webHidden/>
              </w:rPr>
              <w:tab/>
            </w:r>
            <w:r w:rsidR="00061A03">
              <w:rPr>
                <w:noProof/>
                <w:webHidden/>
              </w:rPr>
              <w:fldChar w:fldCharType="begin"/>
            </w:r>
            <w:r w:rsidR="00061A03">
              <w:rPr>
                <w:noProof/>
                <w:webHidden/>
              </w:rPr>
              <w:instrText xml:space="preserve"> PAGEREF _Toc469989363 \h </w:instrText>
            </w:r>
            <w:r w:rsidR="00061A03">
              <w:rPr>
                <w:noProof/>
                <w:webHidden/>
              </w:rPr>
            </w:r>
            <w:r w:rsidR="00061A03">
              <w:rPr>
                <w:noProof/>
                <w:webHidden/>
              </w:rPr>
              <w:fldChar w:fldCharType="separate"/>
            </w:r>
            <w:r w:rsidR="003A35BB">
              <w:rPr>
                <w:noProof/>
                <w:webHidden/>
              </w:rPr>
              <w:t>39</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64" w:history="1">
            <w:r w:rsidR="00061A03" w:rsidRPr="00B01CFD">
              <w:rPr>
                <w:rStyle w:val="Hypertextovodkaz"/>
                <w:noProof/>
              </w:rPr>
              <w:t>7.2.</w:t>
            </w:r>
            <w:r w:rsidR="00061A03">
              <w:rPr>
                <w:rFonts w:cstheme="minorBidi"/>
                <w:noProof/>
                <w:szCs w:val="22"/>
                <w:lang w:eastAsia="cs-CZ"/>
              </w:rPr>
              <w:tab/>
            </w:r>
            <w:r w:rsidR="00061A03" w:rsidRPr="00B01CFD">
              <w:rPr>
                <w:rStyle w:val="Hypertextovodkaz"/>
                <w:noProof/>
              </w:rPr>
              <w:t>Seznam obrázků</w:t>
            </w:r>
            <w:r w:rsidR="00061A03">
              <w:rPr>
                <w:noProof/>
                <w:webHidden/>
              </w:rPr>
              <w:tab/>
            </w:r>
            <w:r w:rsidR="00061A03">
              <w:rPr>
                <w:noProof/>
                <w:webHidden/>
              </w:rPr>
              <w:fldChar w:fldCharType="begin"/>
            </w:r>
            <w:r w:rsidR="00061A03">
              <w:rPr>
                <w:noProof/>
                <w:webHidden/>
              </w:rPr>
              <w:instrText xml:space="preserve"> PAGEREF _Toc469989364 \h </w:instrText>
            </w:r>
            <w:r w:rsidR="00061A03">
              <w:rPr>
                <w:noProof/>
                <w:webHidden/>
              </w:rPr>
            </w:r>
            <w:r w:rsidR="00061A03">
              <w:rPr>
                <w:noProof/>
                <w:webHidden/>
              </w:rPr>
              <w:fldChar w:fldCharType="separate"/>
            </w:r>
            <w:r w:rsidR="003A35BB">
              <w:rPr>
                <w:noProof/>
                <w:webHidden/>
              </w:rPr>
              <w:t>39</w:t>
            </w:r>
            <w:r w:rsidR="00061A03">
              <w:rPr>
                <w:noProof/>
                <w:webHidden/>
              </w:rPr>
              <w:fldChar w:fldCharType="end"/>
            </w:r>
          </w:hyperlink>
        </w:p>
        <w:p w:rsidR="00061A03" w:rsidRDefault="005D1BD9">
          <w:pPr>
            <w:pStyle w:val="Obsah2"/>
            <w:tabs>
              <w:tab w:val="left" w:pos="880"/>
              <w:tab w:val="right" w:leader="dot" w:pos="9062"/>
            </w:tabs>
            <w:rPr>
              <w:rFonts w:cstheme="minorBidi"/>
              <w:noProof/>
              <w:szCs w:val="22"/>
              <w:lang w:eastAsia="cs-CZ"/>
            </w:rPr>
          </w:pPr>
          <w:hyperlink w:anchor="_Toc469989365" w:history="1">
            <w:r w:rsidR="00061A03" w:rsidRPr="00B01CFD">
              <w:rPr>
                <w:rStyle w:val="Hypertextovodkaz"/>
                <w:noProof/>
              </w:rPr>
              <w:t>7.3.</w:t>
            </w:r>
            <w:r w:rsidR="00061A03">
              <w:rPr>
                <w:rFonts w:cstheme="minorBidi"/>
                <w:noProof/>
                <w:szCs w:val="22"/>
                <w:lang w:eastAsia="cs-CZ"/>
              </w:rPr>
              <w:tab/>
            </w:r>
            <w:r w:rsidR="00061A03" w:rsidRPr="00B01CFD">
              <w:rPr>
                <w:rStyle w:val="Hypertextovodkaz"/>
                <w:noProof/>
              </w:rPr>
              <w:t>Seznam tabulek</w:t>
            </w:r>
            <w:r w:rsidR="00061A03">
              <w:rPr>
                <w:noProof/>
                <w:webHidden/>
              </w:rPr>
              <w:tab/>
            </w:r>
            <w:r w:rsidR="00061A03">
              <w:rPr>
                <w:noProof/>
                <w:webHidden/>
              </w:rPr>
              <w:fldChar w:fldCharType="begin"/>
            </w:r>
            <w:r w:rsidR="00061A03">
              <w:rPr>
                <w:noProof/>
                <w:webHidden/>
              </w:rPr>
              <w:instrText xml:space="preserve"> PAGEREF _Toc469989365 \h </w:instrText>
            </w:r>
            <w:r w:rsidR="00061A03">
              <w:rPr>
                <w:noProof/>
                <w:webHidden/>
              </w:rPr>
            </w:r>
            <w:r w:rsidR="00061A03">
              <w:rPr>
                <w:noProof/>
                <w:webHidden/>
              </w:rPr>
              <w:fldChar w:fldCharType="separate"/>
            </w:r>
            <w:r w:rsidR="003A35BB">
              <w:rPr>
                <w:noProof/>
                <w:webHidden/>
              </w:rPr>
              <w:t>40</w:t>
            </w:r>
            <w:r w:rsidR="00061A03">
              <w:rPr>
                <w:noProof/>
                <w:webHidden/>
              </w:rPr>
              <w:fldChar w:fldCharType="end"/>
            </w:r>
          </w:hyperlink>
        </w:p>
        <w:p w:rsidR="00061A03" w:rsidRDefault="005D1BD9">
          <w:pPr>
            <w:pStyle w:val="Obsah1"/>
            <w:tabs>
              <w:tab w:val="left" w:pos="440"/>
              <w:tab w:val="right" w:leader="dot" w:pos="9062"/>
            </w:tabs>
            <w:rPr>
              <w:rFonts w:cstheme="minorBidi"/>
              <w:noProof/>
              <w:szCs w:val="22"/>
              <w:lang w:eastAsia="cs-CZ"/>
            </w:rPr>
          </w:pPr>
          <w:hyperlink w:anchor="_Toc469989366" w:history="1">
            <w:r w:rsidR="00061A03" w:rsidRPr="00B01CFD">
              <w:rPr>
                <w:rStyle w:val="Hypertextovodkaz"/>
                <w:noProof/>
              </w:rPr>
              <w:t>8.</w:t>
            </w:r>
            <w:r w:rsidR="00061A03">
              <w:rPr>
                <w:rFonts w:cstheme="minorBidi"/>
                <w:noProof/>
                <w:szCs w:val="22"/>
                <w:lang w:eastAsia="cs-CZ"/>
              </w:rPr>
              <w:tab/>
            </w:r>
            <w:r w:rsidR="00061A03" w:rsidRPr="00B01CFD">
              <w:rPr>
                <w:rStyle w:val="Hypertextovodkaz"/>
                <w:noProof/>
              </w:rPr>
              <w:t>Seznam příloh</w:t>
            </w:r>
            <w:r w:rsidR="00061A03">
              <w:rPr>
                <w:noProof/>
                <w:webHidden/>
              </w:rPr>
              <w:tab/>
            </w:r>
            <w:r w:rsidR="00061A03">
              <w:rPr>
                <w:noProof/>
                <w:webHidden/>
              </w:rPr>
              <w:fldChar w:fldCharType="begin"/>
            </w:r>
            <w:r w:rsidR="00061A03">
              <w:rPr>
                <w:noProof/>
                <w:webHidden/>
              </w:rPr>
              <w:instrText xml:space="preserve"> PAGEREF _Toc469989366 \h </w:instrText>
            </w:r>
            <w:r w:rsidR="00061A03">
              <w:rPr>
                <w:noProof/>
                <w:webHidden/>
              </w:rPr>
            </w:r>
            <w:r w:rsidR="00061A03">
              <w:rPr>
                <w:noProof/>
                <w:webHidden/>
              </w:rPr>
              <w:fldChar w:fldCharType="separate"/>
            </w:r>
            <w:r w:rsidR="003A35BB">
              <w:rPr>
                <w:noProof/>
                <w:webHidden/>
              </w:rPr>
              <w:t>41</w:t>
            </w:r>
            <w:r w:rsidR="00061A03">
              <w:rPr>
                <w:noProof/>
                <w:webHidden/>
              </w:rPr>
              <w:fldChar w:fldCharType="end"/>
            </w:r>
          </w:hyperlink>
        </w:p>
        <w:p w:rsidR="00B6129A" w:rsidRDefault="00B6129A">
          <w:r>
            <w:rPr>
              <w:b/>
              <w:bCs/>
            </w:rPr>
            <w:fldChar w:fldCharType="end"/>
          </w:r>
        </w:p>
      </w:sdtContent>
    </w:sdt>
    <w:p w:rsidR="00B6129A" w:rsidRDefault="00B6129A" w:rsidP="006A1FD8"/>
    <w:p w:rsidR="00167943" w:rsidRDefault="00167943" w:rsidP="006A1FD8"/>
    <w:p w:rsidR="00B6129A" w:rsidRDefault="00B6129A">
      <w:pPr>
        <w:spacing w:before="0" w:after="0"/>
        <w:jc w:val="left"/>
      </w:pPr>
      <w:r>
        <w:br w:type="page"/>
      </w:r>
    </w:p>
    <w:p w:rsidR="001D204D" w:rsidRDefault="001D204D" w:rsidP="006A1FD8">
      <w:pPr>
        <w:pStyle w:val="Nadpis1"/>
      </w:pPr>
      <w:bookmarkStart w:id="0" w:name="_Toc469989342"/>
      <w:r>
        <w:lastRenderedPageBreak/>
        <w:t xml:space="preserve">Vývoj </w:t>
      </w:r>
      <w:r w:rsidR="008B0DB6">
        <w:t xml:space="preserve">a předpokládaný </w:t>
      </w:r>
      <w:r w:rsidR="00BB606E">
        <w:t>vývoj</w:t>
      </w:r>
      <w:r w:rsidR="008B0DB6">
        <w:t xml:space="preserve"> </w:t>
      </w:r>
      <w:r w:rsidR="00B55843">
        <w:t xml:space="preserve">počtu obyvatel </w:t>
      </w:r>
      <w:r w:rsidR="008B0DB6">
        <w:t>České republiky</w:t>
      </w:r>
      <w:bookmarkEnd w:id="0"/>
      <w:r>
        <w:t xml:space="preserve"> </w:t>
      </w:r>
    </w:p>
    <w:p w:rsidR="00562B54" w:rsidRDefault="00FA5F21" w:rsidP="001D204D">
      <w:r>
        <w:t xml:space="preserve">K 31. 12. 2015 měla Česká republika 10 553 843 obyvatel. Oproti předchozím letům se jedná o mírný nárůst. V roce 1991 měla Česká republika </w:t>
      </w:r>
      <w:r w:rsidRPr="00FA5F21">
        <w:t>10 3</w:t>
      </w:r>
      <w:r w:rsidR="00A874EB">
        <w:t>12</w:t>
      </w:r>
      <w:r>
        <w:t> </w:t>
      </w:r>
      <w:r w:rsidR="00A874EB">
        <w:t>548</w:t>
      </w:r>
      <w:r>
        <w:t xml:space="preserve">, v roce 2001 </w:t>
      </w:r>
      <w:r w:rsidRPr="00FA5F21">
        <w:t>10</w:t>
      </w:r>
      <w:r w:rsidR="00A874EB">
        <w:t> 206 436</w:t>
      </w:r>
      <w:r>
        <w:t xml:space="preserve"> obyvatel a </w:t>
      </w:r>
      <w:r w:rsidRPr="00FA5F21">
        <w:t>10</w:t>
      </w:r>
      <w:r w:rsidR="00A874EB">
        <w:t> 505 445</w:t>
      </w:r>
      <w:r>
        <w:t xml:space="preserve"> v roce 2011. </w:t>
      </w:r>
      <w:r w:rsidR="0087504B">
        <w:t>Z těchto čísel je patrné, že za poslední dvě dekády</w:t>
      </w:r>
      <w:r w:rsidR="00F924DF">
        <w:t xml:space="preserve"> je počet obyvatel vyrovnaný a </w:t>
      </w:r>
      <w:r w:rsidR="00912832">
        <w:t>pohybuje</w:t>
      </w:r>
      <w:r w:rsidR="00F924DF">
        <w:t xml:space="preserve"> se mezi 10,2 – 10,5 mil. obyvatel</w:t>
      </w:r>
      <w:r w:rsidR="004654A9">
        <w:t xml:space="preserve"> a v posledních letech dochází k nárůstu</w:t>
      </w:r>
      <w:r w:rsidR="00F924DF">
        <w:t>. Mezi r</w:t>
      </w:r>
      <w:r w:rsidR="00061A03">
        <w:t>oky 1991 – 2001 došlo k poklesu</w:t>
      </w:r>
      <w:r w:rsidR="00F924DF">
        <w:t xml:space="preserve"> počtu obyvatel</w:t>
      </w:r>
      <w:r w:rsidR="004654A9">
        <w:t xml:space="preserve"> o </w:t>
      </w:r>
      <w:r w:rsidR="00A874EB">
        <w:t>106</w:t>
      </w:r>
      <w:r w:rsidR="00061A03">
        <w:t> </w:t>
      </w:r>
      <w:r w:rsidR="00A874EB">
        <w:t>112</w:t>
      </w:r>
      <w:r w:rsidR="00061A03">
        <w:t>,</w:t>
      </w:r>
      <w:r w:rsidR="004654A9">
        <w:t xml:space="preserve"> což činilo </w:t>
      </w:r>
      <w:r w:rsidR="00A874EB">
        <w:t>1,0</w:t>
      </w:r>
      <w:r w:rsidR="004654A9">
        <w:t xml:space="preserve"> % z celkového počtu obyvatel České republiky. Mezi lety 2001 - 2011 došlo naopak k nárůstu počtu obyvatel o 2</w:t>
      </w:r>
      <w:r w:rsidR="00A874EB">
        <w:t>99</w:t>
      </w:r>
      <w:r w:rsidR="004654A9">
        <w:t> </w:t>
      </w:r>
      <w:r w:rsidR="00A874EB">
        <w:t>009</w:t>
      </w:r>
      <w:r w:rsidR="004654A9">
        <w:t xml:space="preserve"> tj. o 2,</w:t>
      </w:r>
      <w:r w:rsidR="00A874EB">
        <w:t>9</w:t>
      </w:r>
      <w:r w:rsidR="004654A9">
        <w:t xml:space="preserve"> % celkového počtu obyvatel. Tento trend pokračoval i na začátku druhého desetiletí kdy vzrostl počet obyvatel České republiky mezi lety 2011 – 2015 o 117 283, tj. o 1,1 %.</w:t>
      </w:r>
      <w:r w:rsidR="00A874EB">
        <w:t xml:space="preserve"> Z </w:t>
      </w:r>
      <w:r w:rsidR="00A874EB" w:rsidRPr="00BC5376">
        <w:rPr>
          <w:i/>
        </w:rPr>
        <w:t>Tab. 1 Vývoj počtu obyvatel České republiky mezi lety 2010 – 2015</w:t>
      </w:r>
      <w:r w:rsidR="00A874EB">
        <w:t xml:space="preserve"> je patrné, že největší podíl na mírném růstu počtu obyvatel má množství obyvatel přistěhovaných ze zahraničí.</w:t>
      </w:r>
    </w:p>
    <w:tbl>
      <w:tblPr>
        <w:tblStyle w:val="Mkatabulky"/>
        <w:tblW w:w="5000" w:type="pct"/>
        <w:tblLook w:val="04A0" w:firstRow="1" w:lastRow="0" w:firstColumn="1" w:lastColumn="0" w:noHBand="0" w:noVBand="1"/>
      </w:tblPr>
      <w:tblGrid>
        <w:gridCol w:w="2234"/>
        <w:gridCol w:w="1176"/>
        <w:gridCol w:w="1176"/>
        <w:gridCol w:w="1176"/>
        <w:gridCol w:w="1176"/>
        <w:gridCol w:w="1176"/>
        <w:gridCol w:w="1174"/>
      </w:tblGrid>
      <w:tr w:rsidR="00A874EB" w:rsidTr="00A874EB">
        <w:tc>
          <w:tcPr>
            <w:tcW w:w="1203" w:type="pct"/>
            <w:tcBorders>
              <w:top w:val="double" w:sz="4" w:space="0" w:color="auto"/>
              <w:left w:val="double" w:sz="4" w:space="0" w:color="auto"/>
            </w:tcBorders>
            <w:shd w:val="clear" w:color="auto" w:fill="BCD9DE" w:themeFill="accent5" w:themeFillTint="66"/>
            <w:vAlign w:val="center"/>
          </w:tcPr>
          <w:p w:rsidR="009C5328" w:rsidRDefault="009C5328" w:rsidP="006B233F">
            <w:pPr>
              <w:jc w:val="center"/>
            </w:pPr>
            <w:r w:rsidRPr="004E092F">
              <w:rPr>
                <w:b/>
                <w:sz w:val="18"/>
              </w:rPr>
              <w:t>ROK</w:t>
            </w:r>
          </w:p>
        </w:tc>
        <w:tc>
          <w:tcPr>
            <w:tcW w:w="633" w:type="pct"/>
            <w:tcBorders>
              <w:top w:val="double" w:sz="4" w:space="0" w:color="auto"/>
            </w:tcBorders>
            <w:shd w:val="clear" w:color="auto" w:fill="BCD9DE" w:themeFill="accent5" w:themeFillTint="66"/>
            <w:vAlign w:val="center"/>
          </w:tcPr>
          <w:p w:rsidR="009C5328" w:rsidRPr="0047799D" w:rsidRDefault="009C5328" w:rsidP="006B233F">
            <w:pPr>
              <w:jc w:val="center"/>
              <w:rPr>
                <w:b/>
                <w:sz w:val="18"/>
              </w:rPr>
            </w:pPr>
            <w:r>
              <w:rPr>
                <w:b/>
                <w:sz w:val="18"/>
              </w:rPr>
              <w:t>2010</w:t>
            </w:r>
          </w:p>
        </w:tc>
        <w:tc>
          <w:tcPr>
            <w:tcW w:w="633" w:type="pct"/>
            <w:tcBorders>
              <w:top w:val="double" w:sz="4" w:space="0" w:color="auto"/>
            </w:tcBorders>
            <w:shd w:val="clear" w:color="auto" w:fill="BCD9DE" w:themeFill="accent5" w:themeFillTint="66"/>
            <w:vAlign w:val="center"/>
          </w:tcPr>
          <w:p w:rsidR="009C5328" w:rsidRPr="0047799D" w:rsidRDefault="009C5328" w:rsidP="006B233F">
            <w:pPr>
              <w:jc w:val="center"/>
              <w:rPr>
                <w:b/>
                <w:sz w:val="18"/>
              </w:rPr>
            </w:pPr>
            <w:r>
              <w:rPr>
                <w:b/>
                <w:sz w:val="18"/>
              </w:rPr>
              <w:t>2011</w:t>
            </w:r>
          </w:p>
        </w:tc>
        <w:tc>
          <w:tcPr>
            <w:tcW w:w="633" w:type="pct"/>
            <w:tcBorders>
              <w:top w:val="double" w:sz="4" w:space="0" w:color="auto"/>
            </w:tcBorders>
            <w:shd w:val="clear" w:color="auto" w:fill="BCD9DE" w:themeFill="accent5" w:themeFillTint="66"/>
            <w:vAlign w:val="center"/>
          </w:tcPr>
          <w:p w:rsidR="009C5328" w:rsidRPr="0047799D" w:rsidRDefault="009C5328" w:rsidP="006B233F">
            <w:pPr>
              <w:jc w:val="center"/>
              <w:rPr>
                <w:b/>
                <w:sz w:val="18"/>
              </w:rPr>
            </w:pPr>
            <w:r>
              <w:rPr>
                <w:b/>
                <w:sz w:val="18"/>
              </w:rPr>
              <w:t>2012</w:t>
            </w:r>
          </w:p>
        </w:tc>
        <w:tc>
          <w:tcPr>
            <w:tcW w:w="633" w:type="pct"/>
            <w:tcBorders>
              <w:top w:val="double" w:sz="4" w:space="0" w:color="auto"/>
            </w:tcBorders>
            <w:shd w:val="clear" w:color="auto" w:fill="BCD9DE" w:themeFill="accent5" w:themeFillTint="66"/>
          </w:tcPr>
          <w:p w:rsidR="009C5328" w:rsidRPr="0047799D" w:rsidRDefault="009C5328" w:rsidP="006B233F">
            <w:pPr>
              <w:jc w:val="center"/>
              <w:rPr>
                <w:b/>
                <w:sz w:val="18"/>
              </w:rPr>
            </w:pPr>
            <w:r>
              <w:rPr>
                <w:b/>
                <w:sz w:val="18"/>
              </w:rPr>
              <w:t>2013</w:t>
            </w:r>
          </w:p>
        </w:tc>
        <w:tc>
          <w:tcPr>
            <w:tcW w:w="633" w:type="pct"/>
            <w:tcBorders>
              <w:top w:val="double" w:sz="4" w:space="0" w:color="auto"/>
            </w:tcBorders>
            <w:shd w:val="clear" w:color="auto" w:fill="BCD9DE" w:themeFill="accent5" w:themeFillTint="66"/>
          </w:tcPr>
          <w:p w:rsidR="009C5328" w:rsidRPr="0047799D" w:rsidRDefault="009C5328" w:rsidP="006B233F">
            <w:pPr>
              <w:jc w:val="center"/>
              <w:rPr>
                <w:b/>
                <w:sz w:val="18"/>
              </w:rPr>
            </w:pPr>
            <w:r>
              <w:rPr>
                <w:b/>
                <w:sz w:val="18"/>
              </w:rPr>
              <w:t>2014</w:t>
            </w:r>
          </w:p>
        </w:tc>
        <w:tc>
          <w:tcPr>
            <w:tcW w:w="633" w:type="pct"/>
            <w:tcBorders>
              <w:top w:val="double" w:sz="4" w:space="0" w:color="auto"/>
              <w:right w:val="double" w:sz="4" w:space="0" w:color="auto"/>
            </w:tcBorders>
            <w:shd w:val="clear" w:color="auto" w:fill="BCD9DE" w:themeFill="accent5" w:themeFillTint="66"/>
            <w:vAlign w:val="center"/>
          </w:tcPr>
          <w:p w:rsidR="009C5328" w:rsidRPr="0047799D" w:rsidRDefault="009C5328" w:rsidP="006B233F">
            <w:pPr>
              <w:jc w:val="center"/>
              <w:rPr>
                <w:b/>
                <w:sz w:val="18"/>
              </w:rPr>
            </w:pPr>
            <w:r>
              <w:rPr>
                <w:b/>
                <w:sz w:val="18"/>
              </w:rPr>
              <w:t>2015</w:t>
            </w:r>
          </w:p>
        </w:tc>
      </w:tr>
      <w:tr w:rsidR="00A874EB" w:rsidTr="00A874EB">
        <w:tc>
          <w:tcPr>
            <w:tcW w:w="1203" w:type="pct"/>
            <w:tcBorders>
              <w:left w:val="double" w:sz="4" w:space="0" w:color="auto"/>
            </w:tcBorders>
            <w:shd w:val="clear" w:color="auto" w:fill="BCD9DE" w:themeFill="accent5" w:themeFillTint="66"/>
            <w:vAlign w:val="center"/>
          </w:tcPr>
          <w:p w:rsidR="009C5328" w:rsidRPr="004E092F" w:rsidRDefault="009C5328" w:rsidP="006B233F">
            <w:pPr>
              <w:pStyle w:val="Bezmezer"/>
              <w:jc w:val="center"/>
              <w:rPr>
                <w:b/>
                <w:sz w:val="18"/>
              </w:rPr>
            </w:pPr>
            <w:r w:rsidRPr="004E092F">
              <w:rPr>
                <w:b/>
                <w:sz w:val="18"/>
              </w:rPr>
              <w:t>POČET OBYVATEL</w:t>
            </w:r>
          </w:p>
        </w:tc>
        <w:tc>
          <w:tcPr>
            <w:tcW w:w="633" w:type="pct"/>
            <w:vAlign w:val="center"/>
          </w:tcPr>
          <w:p w:rsidR="009C5328" w:rsidRPr="009C5328" w:rsidRDefault="009C5328" w:rsidP="009C5328">
            <w:pPr>
              <w:jc w:val="center"/>
              <w:rPr>
                <w:sz w:val="18"/>
              </w:rPr>
            </w:pPr>
            <w:r w:rsidRPr="009C5328">
              <w:rPr>
                <w:sz w:val="18"/>
              </w:rPr>
              <w:t>10 532 770</w:t>
            </w:r>
          </w:p>
        </w:tc>
        <w:tc>
          <w:tcPr>
            <w:tcW w:w="633" w:type="pct"/>
            <w:vAlign w:val="center"/>
          </w:tcPr>
          <w:p w:rsidR="009C5328" w:rsidRPr="009C5328" w:rsidRDefault="009C5328" w:rsidP="009C5328">
            <w:pPr>
              <w:jc w:val="center"/>
              <w:rPr>
                <w:sz w:val="18"/>
              </w:rPr>
            </w:pPr>
            <w:r w:rsidRPr="009C5328">
              <w:rPr>
                <w:sz w:val="18"/>
              </w:rPr>
              <w:t>10 505 445</w:t>
            </w:r>
          </w:p>
        </w:tc>
        <w:tc>
          <w:tcPr>
            <w:tcW w:w="633" w:type="pct"/>
            <w:vAlign w:val="center"/>
          </w:tcPr>
          <w:p w:rsidR="009C5328" w:rsidRPr="009C5328" w:rsidRDefault="009C5328" w:rsidP="009C5328">
            <w:pPr>
              <w:jc w:val="center"/>
              <w:rPr>
                <w:sz w:val="18"/>
              </w:rPr>
            </w:pPr>
            <w:r w:rsidRPr="009C5328">
              <w:rPr>
                <w:sz w:val="18"/>
              </w:rPr>
              <w:t>10 516 425</w:t>
            </w:r>
          </w:p>
        </w:tc>
        <w:tc>
          <w:tcPr>
            <w:tcW w:w="633" w:type="pct"/>
            <w:vAlign w:val="center"/>
          </w:tcPr>
          <w:p w:rsidR="009C5328" w:rsidRPr="009C5328" w:rsidRDefault="009C5328" w:rsidP="009C5328">
            <w:pPr>
              <w:jc w:val="center"/>
              <w:rPr>
                <w:sz w:val="18"/>
              </w:rPr>
            </w:pPr>
            <w:r w:rsidRPr="009C5328">
              <w:rPr>
                <w:sz w:val="18"/>
              </w:rPr>
              <w:t>10 512 419</w:t>
            </w:r>
          </w:p>
        </w:tc>
        <w:tc>
          <w:tcPr>
            <w:tcW w:w="633" w:type="pct"/>
            <w:vAlign w:val="center"/>
          </w:tcPr>
          <w:p w:rsidR="009C5328" w:rsidRPr="009C5328" w:rsidRDefault="009C5328" w:rsidP="009C5328">
            <w:pPr>
              <w:jc w:val="center"/>
              <w:rPr>
                <w:sz w:val="18"/>
              </w:rPr>
            </w:pPr>
            <w:r w:rsidRPr="009C5328">
              <w:rPr>
                <w:sz w:val="18"/>
              </w:rPr>
              <w:t>10 538 275</w:t>
            </w:r>
          </w:p>
        </w:tc>
        <w:tc>
          <w:tcPr>
            <w:tcW w:w="633" w:type="pct"/>
            <w:tcBorders>
              <w:right w:val="double" w:sz="4" w:space="0" w:color="auto"/>
            </w:tcBorders>
            <w:vAlign w:val="center"/>
          </w:tcPr>
          <w:p w:rsidR="009C5328" w:rsidRPr="009C5328" w:rsidRDefault="009C5328" w:rsidP="009C5328">
            <w:pPr>
              <w:jc w:val="center"/>
              <w:rPr>
                <w:sz w:val="18"/>
              </w:rPr>
            </w:pPr>
            <w:r w:rsidRPr="009C5328">
              <w:rPr>
                <w:sz w:val="18"/>
              </w:rPr>
              <w:t>10</w:t>
            </w:r>
            <w:r w:rsidR="00E6557D">
              <w:rPr>
                <w:sz w:val="18"/>
              </w:rPr>
              <w:t> </w:t>
            </w:r>
            <w:r w:rsidRPr="009C5328">
              <w:rPr>
                <w:sz w:val="18"/>
              </w:rPr>
              <w:t>553</w:t>
            </w:r>
            <w:r w:rsidR="00E6557D">
              <w:rPr>
                <w:sz w:val="18"/>
              </w:rPr>
              <w:t xml:space="preserve"> </w:t>
            </w:r>
            <w:r w:rsidRPr="009C5328">
              <w:rPr>
                <w:sz w:val="18"/>
              </w:rPr>
              <w:t>843</w:t>
            </w:r>
          </w:p>
        </w:tc>
      </w:tr>
      <w:tr w:rsidR="00A874EB" w:rsidTr="00A874EB">
        <w:tc>
          <w:tcPr>
            <w:tcW w:w="1203" w:type="pct"/>
            <w:tcBorders>
              <w:left w:val="double" w:sz="4" w:space="0" w:color="auto"/>
            </w:tcBorders>
            <w:shd w:val="clear" w:color="auto" w:fill="BCD9DE" w:themeFill="accent5" w:themeFillTint="66"/>
            <w:vAlign w:val="center"/>
          </w:tcPr>
          <w:p w:rsidR="009C5328" w:rsidRPr="004E092F" w:rsidRDefault="009C5328" w:rsidP="006B233F">
            <w:pPr>
              <w:pStyle w:val="Bezmezer"/>
              <w:jc w:val="center"/>
              <w:rPr>
                <w:b/>
                <w:sz w:val="18"/>
              </w:rPr>
            </w:pPr>
            <w:r>
              <w:rPr>
                <w:b/>
                <w:sz w:val="18"/>
              </w:rPr>
              <w:t>PŘIROZENÝ PŘÍRŮSTEK</w:t>
            </w:r>
          </w:p>
        </w:tc>
        <w:tc>
          <w:tcPr>
            <w:tcW w:w="633" w:type="pct"/>
            <w:vAlign w:val="center"/>
          </w:tcPr>
          <w:p w:rsidR="009C5328" w:rsidRPr="009C5328" w:rsidRDefault="009C5328" w:rsidP="009C5328">
            <w:pPr>
              <w:jc w:val="center"/>
              <w:rPr>
                <w:sz w:val="18"/>
              </w:rPr>
            </w:pPr>
            <w:r w:rsidRPr="009C5328">
              <w:rPr>
                <w:sz w:val="18"/>
              </w:rPr>
              <w:t>10 309</w:t>
            </w:r>
          </w:p>
        </w:tc>
        <w:tc>
          <w:tcPr>
            <w:tcW w:w="633" w:type="pct"/>
            <w:vAlign w:val="center"/>
          </w:tcPr>
          <w:p w:rsidR="009C5328" w:rsidRPr="009C5328" w:rsidRDefault="009C5328" w:rsidP="009C5328">
            <w:pPr>
              <w:jc w:val="center"/>
              <w:rPr>
                <w:sz w:val="18"/>
              </w:rPr>
            </w:pPr>
            <w:r w:rsidRPr="009C5328">
              <w:rPr>
                <w:sz w:val="18"/>
              </w:rPr>
              <w:t>1 825</w:t>
            </w:r>
          </w:p>
        </w:tc>
        <w:tc>
          <w:tcPr>
            <w:tcW w:w="633" w:type="pct"/>
            <w:vAlign w:val="center"/>
          </w:tcPr>
          <w:p w:rsidR="009C5328" w:rsidRPr="009C5328" w:rsidRDefault="009C5328" w:rsidP="009C5328">
            <w:pPr>
              <w:jc w:val="center"/>
              <w:rPr>
                <w:sz w:val="18"/>
              </w:rPr>
            </w:pPr>
            <w:r w:rsidRPr="009C5328">
              <w:rPr>
                <w:sz w:val="18"/>
              </w:rPr>
              <w:t>387</w:t>
            </w:r>
          </w:p>
        </w:tc>
        <w:tc>
          <w:tcPr>
            <w:tcW w:w="633" w:type="pct"/>
            <w:vAlign w:val="center"/>
          </w:tcPr>
          <w:p w:rsidR="009C5328" w:rsidRPr="009C5328" w:rsidRDefault="009C5328" w:rsidP="009C5328">
            <w:pPr>
              <w:jc w:val="center"/>
              <w:rPr>
                <w:sz w:val="18"/>
              </w:rPr>
            </w:pPr>
            <w:r w:rsidRPr="009C5328">
              <w:rPr>
                <w:sz w:val="18"/>
              </w:rPr>
              <w:t>-2 409</w:t>
            </w:r>
          </w:p>
        </w:tc>
        <w:tc>
          <w:tcPr>
            <w:tcW w:w="633" w:type="pct"/>
            <w:vAlign w:val="center"/>
          </w:tcPr>
          <w:p w:rsidR="009C5328" w:rsidRPr="009C5328" w:rsidRDefault="009C5328" w:rsidP="009C5328">
            <w:pPr>
              <w:jc w:val="center"/>
              <w:rPr>
                <w:sz w:val="18"/>
              </w:rPr>
            </w:pPr>
            <w:r w:rsidRPr="009C5328">
              <w:rPr>
                <w:sz w:val="18"/>
              </w:rPr>
              <w:t>4 195</w:t>
            </w:r>
          </w:p>
        </w:tc>
        <w:tc>
          <w:tcPr>
            <w:tcW w:w="633" w:type="pct"/>
            <w:tcBorders>
              <w:right w:val="double" w:sz="4" w:space="0" w:color="auto"/>
            </w:tcBorders>
            <w:vAlign w:val="center"/>
          </w:tcPr>
          <w:p w:rsidR="009C5328" w:rsidRPr="009C5328" w:rsidRDefault="009C5328" w:rsidP="009C5328">
            <w:pPr>
              <w:jc w:val="center"/>
              <w:rPr>
                <w:sz w:val="18"/>
              </w:rPr>
            </w:pPr>
            <w:r w:rsidRPr="009C5328">
              <w:rPr>
                <w:sz w:val="18"/>
              </w:rPr>
              <w:t>-409</w:t>
            </w:r>
          </w:p>
        </w:tc>
      </w:tr>
      <w:tr w:rsidR="00A874EB" w:rsidTr="00A874EB">
        <w:tc>
          <w:tcPr>
            <w:tcW w:w="1203" w:type="pct"/>
            <w:tcBorders>
              <w:left w:val="double" w:sz="4" w:space="0" w:color="auto"/>
            </w:tcBorders>
            <w:shd w:val="clear" w:color="auto" w:fill="BCD9DE" w:themeFill="accent5" w:themeFillTint="66"/>
            <w:vAlign w:val="center"/>
          </w:tcPr>
          <w:p w:rsidR="009C5328" w:rsidRPr="004E092F" w:rsidRDefault="009C5328" w:rsidP="006B233F">
            <w:pPr>
              <w:pStyle w:val="Bezmezer"/>
              <w:jc w:val="center"/>
              <w:rPr>
                <w:b/>
                <w:sz w:val="18"/>
              </w:rPr>
            </w:pPr>
            <w:r>
              <w:rPr>
                <w:b/>
                <w:sz w:val="18"/>
              </w:rPr>
              <w:t>PŘÍRŮSTEK STĚHOVÁNÍM</w:t>
            </w:r>
          </w:p>
        </w:tc>
        <w:tc>
          <w:tcPr>
            <w:tcW w:w="633" w:type="pct"/>
            <w:vAlign w:val="center"/>
          </w:tcPr>
          <w:p w:rsidR="009C5328" w:rsidRPr="009C5328" w:rsidRDefault="009C5328" w:rsidP="009C5328">
            <w:pPr>
              <w:jc w:val="center"/>
              <w:rPr>
                <w:sz w:val="18"/>
              </w:rPr>
            </w:pPr>
            <w:r w:rsidRPr="009C5328">
              <w:rPr>
                <w:sz w:val="18"/>
              </w:rPr>
              <w:t>15 648</w:t>
            </w:r>
          </w:p>
        </w:tc>
        <w:tc>
          <w:tcPr>
            <w:tcW w:w="633" w:type="pct"/>
            <w:vAlign w:val="center"/>
          </w:tcPr>
          <w:p w:rsidR="009C5328" w:rsidRPr="009C5328" w:rsidRDefault="009C5328" w:rsidP="009C5328">
            <w:pPr>
              <w:jc w:val="center"/>
              <w:rPr>
                <w:sz w:val="18"/>
              </w:rPr>
            </w:pPr>
            <w:r w:rsidRPr="009C5328">
              <w:rPr>
                <w:sz w:val="18"/>
              </w:rPr>
              <w:t>16 889</w:t>
            </w:r>
          </w:p>
        </w:tc>
        <w:tc>
          <w:tcPr>
            <w:tcW w:w="633" w:type="pct"/>
            <w:vAlign w:val="center"/>
          </w:tcPr>
          <w:p w:rsidR="009C5328" w:rsidRPr="009C5328" w:rsidRDefault="009C5328" w:rsidP="009C5328">
            <w:pPr>
              <w:jc w:val="center"/>
              <w:rPr>
                <w:sz w:val="18"/>
              </w:rPr>
            </w:pPr>
            <w:r w:rsidRPr="009C5328">
              <w:rPr>
                <w:sz w:val="18"/>
              </w:rPr>
              <w:t>10 293</w:t>
            </w:r>
          </w:p>
        </w:tc>
        <w:tc>
          <w:tcPr>
            <w:tcW w:w="633" w:type="pct"/>
            <w:vAlign w:val="center"/>
          </w:tcPr>
          <w:p w:rsidR="009C5328" w:rsidRPr="009C5328" w:rsidRDefault="009C5328" w:rsidP="009C5328">
            <w:pPr>
              <w:jc w:val="center"/>
              <w:rPr>
                <w:sz w:val="18"/>
              </w:rPr>
            </w:pPr>
            <w:r w:rsidRPr="009C5328">
              <w:rPr>
                <w:sz w:val="18"/>
              </w:rPr>
              <w:t>-1 297</w:t>
            </w:r>
          </w:p>
        </w:tc>
        <w:tc>
          <w:tcPr>
            <w:tcW w:w="633" w:type="pct"/>
            <w:vAlign w:val="center"/>
          </w:tcPr>
          <w:p w:rsidR="009C5328" w:rsidRPr="009C5328" w:rsidRDefault="009C5328" w:rsidP="009C5328">
            <w:pPr>
              <w:jc w:val="center"/>
              <w:rPr>
                <w:sz w:val="18"/>
              </w:rPr>
            </w:pPr>
            <w:r w:rsidRPr="009C5328">
              <w:rPr>
                <w:sz w:val="18"/>
              </w:rPr>
              <w:t>21 661</w:t>
            </w:r>
          </w:p>
        </w:tc>
        <w:tc>
          <w:tcPr>
            <w:tcW w:w="633" w:type="pct"/>
            <w:tcBorders>
              <w:right w:val="double" w:sz="4" w:space="0" w:color="auto"/>
            </w:tcBorders>
            <w:vAlign w:val="center"/>
          </w:tcPr>
          <w:p w:rsidR="009C5328" w:rsidRPr="009C5328" w:rsidRDefault="009C5328" w:rsidP="009C5328">
            <w:pPr>
              <w:jc w:val="center"/>
              <w:rPr>
                <w:sz w:val="18"/>
              </w:rPr>
            </w:pPr>
            <w:r w:rsidRPr="009C5328">
              <w:rPr>
                <w:sz w:val="18"/>
              </w:rPr>
              <w:t>15 977</w:t>
            </w:r>
          </w:p>
        </w:tc>
      </w:tr>
      <w:tr w:rsidR="00A874EB" w:rsidTr="00A874EB">
        <w:tc>
          <w:tcPr>
            <w:tcW w:w="1203" w:type="pct"/>
            <w:tcBorders>
              <w:left w:val="double" w:sz="4" w:space="0" w:color="auto"/>
              <w:bottom w:val="double" w:sz="4" w:space="0" w:color="auto"/>
            </w:tcBorders>
            <w:shd w:val="clear" w:color="auto" w:fill="BCD9DE" w:themeFill="accent5" w:themeFillTint="66"/>
            <w:vAlign w:val="center"/>
          </w:tcPr>
          <w:p w:rsidR="009C5328" w:rsidRPr="004E092F" w:rsidRDefault="009C5328" w:rsidP="006B233F">
            <w:pPr>
              <w:pStyle w:val="Bezmezer"/>
              <w:jc w:val="center"/>
              <w:rPr>
                <w:b/>
                <w:sz w:val="18"/>
              </w:rPr>
            </w:pPr>
            <w:r>
              <w:rPr>
                <w:b/>
                <w:sz w:val="18"/>
              </w:rPr>
              <w:t>PŘÍRŮSTEK CELKOVÝ</w:t>
            </w:r>
          </w:p>
        </w:tc>
        <w:tc>
          <w:tcPr>
            <w:tcW w:w="633" w:type="pct"/>
            <w:tcBorders>
              <w:bottom w:val="double" w:sz="4" w:space="0" w:color="auto"/>
            </w:tcBorders>
            <w:vAlign w:val="center"/>
          </w:tcPr>
          <w:p w:rsidR="009C5328" w:rsidRPr="009C5328" w:rsidRDefault="009C5328" w:rsidP="009C5328">
            <w:pPr>
              <w:jc w:val="center"/>
              <w:rPr>
                <w:sz w:val="18"/>
              </w:rPr>
            </w:pPr>
            <w:r w:rsidRPr="009C5328">
              <w:rPr>
                <w:sz w:val="18"/>
              </w:rPr>
              <w:t>25 957</w:t>
            </w:r>
          </w:p>
        </w:tc>
        <w:tc>
          <w:tcPr>
            <w:tcW w:w="633" w:type="pct"/>
            <w:tcBorders>
              <w:bottom w:val="double" w:sz="4" w:space="0" w:color="auto"/>
            </w:tcBorders>
            <w:vAlign w:val="center"/>
          </w:tcPr>
          <w:p w:rsidR="009C5328" w:rsidRPr="009C5328" w:rsidRDefault="009C5328" w:rsidP="009C5328">
            <w:pPr>
              <w:jc w:val="center"/>
              <w:rPr>
                <w:sz w:val="18"/>
              </w:rPr>
            </w:pPr>
            <w:r w:rsidRPr="009C5328">
              <w:rPr>
                <w:sz w:val="18"/>
              </w:rPr>
              <w:t>18 714</w:t>
            </w:r>
          </w:p>
        </w:tc>
        <w:tc>
          <w:tcPr>
            <w:tcW w:w="633" w:type="pct"/>
            <w:tcBorders>
              <w:bottom w:val="double" w:sz="4" w:space="0" w:color="auto"/>
            </w:tcBorders>
            <w:vAlign w:val="center"/>
          </w:tcPr>
          <w:p w:rsidR="009C5328" w:rsidRPr="009C5328" w:rsidRDefault="009C5328" w:rsidP="009C5328">
            <w:pPr>
              <w:jc w:val="center"/>
              <w:rPr>
                <w:sz w:val="18"/>
              </w:rPr>
            </w:pPr>
            <w:r w:rsidRPr="009C5328">
              <w:rPr>
                <w:sz w:val="18"/>
              </w:rPr>
              <w:t>10 680</w:t>
            </w:r>
          </w:p>
        </w:tc>
        <w:tc>
          <w:tcPr>
            <w:tcW w:w="633" w:type="pct"/>
            <w:tcBorders>
              <w:bottom w:val="double" w:sz="4" w:space="0" w:color="auto"/>
            </w:tcBorders>
            <w:vAlign w:val="center"/>
          </w:tcPr>
          <w:p w:rsidR="009C5328" w:rsidRPr="009C5328" w:rsidRDefault="009C5328" w:rsidP="009C5328">
            <w:pPr>
              <w:jc w:val="center"/>
              <w:rPr>
                <w:sz w:val="18"/>
              </w:rPr>
            </w:pPr>
            <w:r w:rsidRPr="009C5328">
              <w:rPr>
                <w:sz w:val="18"/>
              </w:rPr>
              <w:t>-3 706</w:t>
            </w:r>
          </w:p>
        </w:tc>
        <w:tc>
          <w:tcPr>
            <w:tcW w:w="633" w:type="pct"/>
            <w:tcBorders>
              <w:bottom w:val="double" w:sz="4" w:space="0" w:color="auto"/>
            </w:tcBorders>
            <w:vAlign w:val="center"/>
          </w:tcPr>
          <w:p w:rsidR="009C5328" w:rsidRPr="009C5328" w:rsidRDefault="009C5328" w:rsidP="009C5328">
            <w:pPr>
              <w:jc w:val="center"/>
              <w:rPr>
                <w:sz w:val="18"/>
              </w:rPr>
            </w:pPr>
            <w:r w:rsidRPr="009C5328">
              <w:rPr>
                <w:sz w:val="18"/>
              </w:rPr>
              <w:t>25 856</w:t>
            </w:r>
          </w:p>
        </w:tc>
        <w:tc>
          <w:tcPr>
            <w:tcW w:w="633" w:type="pct"/>
            <w:tcBorders>
              <w:bottom w:val="double" w:sz="4" w:space="0" w:color="auto"/>
              <w:right w:val="double" w:sz="4" w:space="0" w:color="auto"/>
            </w:tcBorders>
            <w:vAlign w:val="center"/>
          </w:tcPr>
          <w:p w:rsidR="009C5328" w:rsidRPr="009C5328" w:rsidRDefault="009C5328" w:rsidP="009C5328">
            <w:pPr>
              <w:keepNext/>
              <w:jc w:val="center"/>
              <w:rPr>
                <w:sz w:val="18"/>
              </w:rPr>
            </w:pPr>
            <w:r w:rsidRPr="009C5328">
              <w:rPr>
                <w:sz w:val="18"/>
              </w:rPr>
              <w:t>15 568</w:t>
            </w:r>
          </w:p>
        </w:tc>
      </w:tr>
    </w:tbl>
    <w:p w:rsidR="009C5328" w:rsidRDefault="009C5328" w:rsidP="009C5328">
      <w:pPr>
        <w:pStyle w:val="Tabulka"/>
      </w:pPr>
      <w:bookmarkStart w:id="1" w:name="_Toc469908875"/>
      <w:r>
        <w:t xml:space="preserve">Tab. </w:t>
      </w:r>
      <w:r w:rsidR="005D1BD9">
        <w:fldChar w:fldCharType="begin"/>
      </w:r>
      <w:r w:rsidR="005D1BD9">
        <w:instrText xml:space="preserve"> SEQ Tab. \* ARABIC </w:instrText>
      </w:r>
      <w:r w:rsidR="005D1BD9">
        <w:fldChar w:fldCharType="separate"/>
      </w:r>
      <w:r w:rsidR="003A35BB">
        <w:rPr>
          <w:noProof/>
        </w:rPr>
        <w:t>1</w:t>
      </w:r>
      <w:r w:rsidR="005D1BD9">
        <w:rPr>
          <w:noProof/>
        </w:rPr>
        <w:fldChar w:fldCharType="end"/>
      </w:r>
      <w:r w:rsidR="00A874EB">
        <w:t xml:space="preserve"> Vývoj počtu obyvatel České republiky mezi lety 2010 – 2015</w:t>
      </w:r>
      <w:bookmarkEnd w:id="1"/>
    </w:p>
    <w:p w:rsidR="001D204D" w:rsidRDefault="004A5CE0" w:rsidP="001D204D">
      <w:r>
        <w:t xml:space="preserve">Populační prognóza </w:t>
      </w:r>
      <w:proofErr w:type="spellStart"/>
      <w:r>
        <w:t>výjoje</w:t>
      </w:r>
      <w:proofErr w:type="spellEnd"/>
      <w:r>
        <w:t xml:space="preserve"> obyvatelstva České republiky do roku 2050 byla zpracována Českým statistickým úřadem v roce 2004</w:t>
      </w:r>
      <w:r w:rsidR="008F6709">
        <w:t xml:space="preserve">. Prognóza by zpracována ve třech variantách </w:t>
      </w:r>
      <w:r w:rsidR="00E6557D">
        <w:t>(</w:t>
      </w:r>
      <w:r w:rsidR="00E6557D" w:rsidRPr="00BC5376">
        <w:rPr>
          <w:i/>
        </w:rPr>
        <w:t>Tab. 2 Populační prognóza České republiky do roku 2050 – nízká, střední a vysoká varianta</w:t>
      </w:r>
      <w:r w:rsidR="00E6557D">
        <w:t xml:space="preserve">) </w:t>
      </w:r>
      <w:r w:rsidR="00912832">
        <w:t xml:space="preserve">– nízké střední a </w:t>
      </w:r>
      <w:r w:rsidR="008F6709">
        <w:t xml:space="preserve">vysoké. Nízká varianta předpokládala nejmenší očekávané zvýšení úrovně plodnosti, nejméně výrazné zlepšení úmrtnosti a </w:t>
      </w:r>
      <w:r w:rsidR="00912832">
        <w:t>nejnižší</w:t>
      </w:r>
      <w:r w:rsidR="008F6709">
        <w:t xml:space="preserve"> zisk vlivem stěhování z a do zahraničí. Vysoká varianta naopak předpokládala největší zvýšení plodnosti, nižší úmrtnost a vyšší </w:t>
      </w:r>
      <w:r w:rsidR="00620AD9">
        <w:t>poměr</w:t>
      </w:r>
      <w:r w:rsidR="008F6709">
        <w:t xml:space="preserve"> přistěhovaných vůči odstěhovaným.</w:t>
      </w:r>
    </w:p>
    <w:tbl>
      <w:tblPr>
        <w:tblStyle w:val="Mkatabulky"/>
        <w:tblW w:w="5000" w:type="pct"/>
        <w:tblLook w:val="04A0" w:firstRow="1" w:lastRow="0" w:firstColumn="1" w:lastColumn="0" w:noHBand="0" w:noVBand="1"/>
      </w:tblPr>
      <w:tblGrid>
        <w:gridCol w:w="2234"/>
        <w:gridCol w:w="1176"/>
        <w:gridCol w:w="1176"/>
        <w:gridCol w:w="1176"/>
        <w:gridCol w:w="1176"/>
        <w:gridCol w:w="1176"/>
        <w:gridCol w:w="1174"/>
      </w:tblGrid>
      <w:tr w:rsidR="00A874EB" w:rsidTr="00A874EB">
        <w:tc>
          <w:tcPr>
            <w:tcW w:w="1203" w:type="pct"/>
            <w:tcBorders>
              <w:top w:val="double" w:sz="4" w:space="0" w:color="auto"/>
              <w:left w:val="double" w:sz="4" w:space="0" w:color="auto"/>
            </w:tcBorders>
            <w:shd w:val="clear" w:color="auto" w:fill="BCD9DE" w:themeFill="accent5" w:themeFillTint="66"/>
            <w:vAlign w:val="center"/>
          </w:tcPr>
          <w:p w:rsidR="009061ED" w:rsidRDefault="009061ED" w:rsidP="006B233F">
            <w:pPr>
              <w:jc w:val="center"/>
            </w:pPr>
            <w:r w:rsidRPr="004E092F">
              <w:rPr>
                <w:b/>
                <w:sz w:val="18"/>
              </w:rPr>
              <w:t>ROK</w:t>
            </w:r>
          </w:p>
        </w:tc>
        <w:tc>
          <w:tcPr>
            <w:tcW w:w="633" w:type="pct"/>
            <w:tcBorders>
              <w:top w:val="double" w:sz="4" w:space="0" w:color="auto"/>
            </w:tcBorders>
            <w:shd w:val="clear" w:color="auto" w:fill="BCD9DE" w:themeFill="accent5" w:themeFillTint="66"/>
          </w:tcPr>
          <w:p w:rsidR="009061ED" w:rsidRPr="0047799D" w:rsidRDefault="009061ED" w:rsidP="006B233F">
            <w:pPr>
              <w:jc w:val="center"/>
              <w:rPr>
                <w:b/>
                <w:sz w:val="18"/>
              </w:rPr>
            </w:pPr>
            <w:r>
              <w:rPr>
                <w:b/>
                <w:sz w:val="18"/>
              </w:rPr>
              <w:t>2010</w:t>
            </w:r>
          </w:p>
        </w:tc>
        <w:tc>
          <w:tcPr>
            <w:tcW w:w="633" w:type="pct"/>
            <w:tcBorders>
              <w:top w:val="double" w:sz="4" w:space="0" w:color="auto"/>
            </w:tcBorders>
            <w:shd w:val="clear" w:color="auto" w:fill="BCD9DE" w:themeFill="accent5" w:themeFillTint="66"/>
          </w:tcPr>
          <w:p w:rsidR="009061ED" w:rsidRPr="0047799D" w:rsidRDefault="009061ED" w:rsidP="006B233F">
            <w:pPr>
              <w:jc w:val="center"/>
              <w:rPr>
                <w:b/>
                <w:sz w:val="18"/>
              </w:rPr>
            </w:pPr>
            <w:r>
              <w:rPr>
                <w:b/>
                <w:sz w:val="18"/>
              </w:rPr>
              <w:t>2015</w:t>
            </w:r>
          </w:p>
        </w:tc>
        <w:tc>
          <w:tcPr>
            <w:tcW w:w="633" w:type="pct"/>
            <w:tcBorders>
              <w:top w:val="double" w:sz="4" w:space="0" w:color="auto"/>
            </w:tcBorders>
            <w:shd w:val="clear" w:color="auto" w:fill="BCD9DE" w:themeFill="accent5" w:themeFillTint="66"/>
            <w:vAlign w:val="center"/>
          </w:tcPr>
          <w:p w:rsidR="009061ED" w:rsidRPr="0047799D" w:rsidRDefault="009061ED" w:rsidP="006B233F">
            <w:pPr>
              <w:jc w:val="center"/>
              <w:rPr>
                <w:b/>
                <w:sz w:val="18"/>
              </w:rPr>
            </w:pPr>
            <w:r w:rsidRPr="0047799D">
              <w:rPr>
                <w:b/>
                <w:sz w:val="18"/>
              </w:rPr>
              <w:t>2020</w:t>
            </w:r>
          </w:p>
        </w:tc>
        <w:tc>
          <w:tcPr>
            <w:tcW w:w="633" w:type="pct"/>
            <w:tcBorders>
              <w:top w:val="double" w:sz="4" w:space="0" w:color="auto"/>
            </w:tcBorders>
            <w:shd w:val="clear" w:color="auto" w:fill="BCD9DE" w:themeFill="accent5" w:themeFillTint="66"/>
            <w:vAlign w:val="center"/>
          </w:tcPr>
          <w:p w:rsidR="009061ED" w:rsidRPr="0047799D" w:rsidRDefault="009061ED" w:rsidP="006B233F">
            <w:pPr>
              <w:jc w:val="center"/>
              <w:rPr>
                <w:b/>
                <w:sz w:val="18"/>
              </w:rPr>
            </w:pPr>
            <w:r w:rsidRPr="0047799D">
              <w:rPr>
                <w:b/>
                <w:sz w:val="18"/>
              </w:rPr>
              <w:t>2025</w:t>
            </w:r>
          </w:p>
        </w:tc>
        <w:tc>
          <w:tcPr>
            <w:tcW w:w="633" w:type="pct"/>
            <w:tcBorders>
              <w:top w:val="double" w:sz="4" w:space="0" w:color="auto"/>
            </w:tcBorders>
            <w:shd w:val="clear" w:color="auto" w:fill="BCD9DE" w:themeFill="accent5" w:themeFillTint="66"/>
            <w:vAlign w:val="center"/>
          </w:tcPr>
          <w:p w:rsidR="009061ED" w:rsidRPr="0047799D" w:rsidRDefault="009061ED" w:rsidP="006B233F">
            <w:pPr>
              <w:jc w:val="center"/>
              <w:rPr>
                <w:b/>
                <w:sz w:val="18"/>
              </w:rPr>
            </w:pPr>
            <w:r w:rsidRPr="0047799D">
              <w:rPr>
                <w:b/>
                <w:sz w:val="18"/>
              </w:rPr>
              <w:t>2030</w:t>
            </w:r>
          </w:p>
        </w:tc>
        <w:tc>
          <w:tcPr>
            <w:tcW w:w="633" w:type="pct"/>
            <w:tcBorders>
              <w:top w:val="double" w:sz="4" w:space="0" w:color="auto"/>
              <w:right w:val="double" w:sz="4" w:space="0" w:color="auto"/>
            </w:tcBorders>
            <w:shd w:val="clear" w:color="auto" w:fill="BCD9DE" w:themeFill="accent5" w:themeFillTint="66"/>
            <w:vAlign w:val="center"/>
          </w:tcPr>
          <w:p w:rsidR="009061ED" w:rsidRPr="0047799D" w:rsidRDefault="009061ED" w:rsidP="006B233F">
            <w:pPr>
              <w:jc w:val="center"/>
              <w:rPr>
                <w:b/>
                <w:sz w:val="18"/>
              </w:rPr>
            </w:pPr>
            <w:r w:rsidRPr="0047799D">
              <w:rPr>
                <w:b/>
                <w:sz w:val="18"/>
              </w:rPr>
              <w:t>2050</w:t>
            </w:r>
          </w:p>
        </w:tc>
      </w:tr>
      <w:tr w:rsidR="00A874EB" w:rsidTr="00A874EB">
        <w:tc>
          <w:tcPr>
            <w:tcW w:w="1203" w:type="pct"/>
            <w:tcBorders>
              <w:left w:val="double" w:sz="4" w:space="0" w:color="auto"/>
            </w:tcBorders>
            <w:shd w:val="clear" w:color="auto" w:fill="BCD9DE" w:themeFill="accent5" w:themeFillTint="66"/>
            <w:vAlign w:val="center"/>
          </w:tcPr>
          <w:p w:rsidR="009061ED" w:rsidRDefault="009061ED" w:rsidP="006B233F">
            <w:pPr>
              <w:pStyle w:val="Bezmezer"/>
              <w:jc w:val="center"/>
              <w:rPr>
                <w:b/>
                <w:sz w:val="18"/>
              </w:rPr>
            </w:pPr>
            <w:r w:rsidRPr="004E092F">
              <w:rPr>
                <w:b/>
                <w:sz w:val="18"/>
              </w:rPr>
              <w:t>POČET OBYVATEL</w:t>
            </w:r>
          </w:p>
          <w:p w:rsidR="00E6557D" w:rsidRPr="004E092F" w:rsidRDefault="00E6557D" w:rsidP="00E6557D">
            <w:pPr>
              <w:pStyle w:val="Bezmezer"/>
              <w:jc w:val="center"/>
              <w:rPr>
                <w:b/>
                <w:sz w:val="18"/>
              </w:rPr>
            </w:pPr>
            <w:r>
              <w:rPr>
                <w:b/>
                <w:sz w:val="18"/>
              </w:rPr>
              <w:t>(NÍZKÁ VARIANTA)</w:t>
            </w:r>
          </w:p>
        </w:tc>
        <w:tc>
          <w:tcPr>
            <w:tcW w:w="633" w:type="pct"/>
            <w:vAlign w:val="center"/>
          </w:tcPr>
          <w:p w:rsidR="009061ED" w:rsidRPr="00E6557D" w:rsidRDefault="00E6557D" w:rsidP="00E6557D">
            <w:pPr>
              <w:jc w:val="center"/>
              <w:rPr>
                <w:sz w:val="18"/>
                <w:szCs w:val="18"/>
              </w:rPr>
            </w:pPr>
            <w:r w:rsidRPr="00E6557D">
              <w:rPr>
                <w:sz w:val="18"/>
                <w:szCs w:val="18"/>
              </w:rPr>
              <w:t>10 141 170</w:t>
            </w:r>
          </w:p>
        </w:tc>
        <w:tc>
          <w:tcPr>
            <w:tcW w:w="633" w:type="pct"/>
            <w:vAlign w:val="center"/>
          </w:tcPr>
          <w:p w:rsidR="009061ED" w:rsidRPr="00E6557D" w:rsidRDefault="00E6557D" w:rsidP="00E6557D">
            <w:pPr>
              <w:jc w:val="center"/>
              <w:rPr>
                <w:sz w:val="18"/>
                <w:szCs w:val="18"/>
              </w:rPr>
            </w:pPr>
            <w:r w:rsidRPr="00E6557D">
              <w:rPr>
                <w:sz w:val="18"/>
                <w:szCs w:val="18"/>
              </w:rPr>
              <w:t>10 033 712</w:t>
            </w:r>
          </w:p>
        </w:tc>
        <w:tc>
          <w:tcPr>
            <w:tcW w:w="633" w:type="pct"/>
            <w:vAlign w:val="center"/>
          </w:tcPr>
          <w:p w:rsidR="009061ED" w:rsidRPr="00E6557D" w:rsidRDefault="00E6557D" w:rsidP="00E6557D">
            <w:pPr>
              <w:jc w:val="center"/>
              <w:rPr>
                <w:sz w:val="18"/>
                <w:szCs w:val="18"/>
              </w:rPr>
            </w:pPr>
            <w:r w:rsidRPr="00E6557D">
              <w:rPr>
                <w:sz w:val="18"/>
                <w:szCs w:val="18"/>
              </w:rPr>
              <w:t>9 874 589</w:t>
            </w:r>
          </w:p>
        </w:tc>
        <w:tc>
          <w:tcPr>
            <w:tcW w:w="633" w:type="pct"/>
            <w:vAlign w:val="center"/>
          </w:tcPr>
          <w:p w:rsidR="009061ED" w:rsidRPr="00E6557D" w:rsidRDefault="00E6557D" w:rsidP="00E6557D">
            <w:pPr>
              <w:jc w:val="center"/>
              <w:rPr>
                <w:sz w:val="18"/>
                <w:szCs w:val="18"/>
              </w:rPr>
            </w:pPr>
            <w:r w:rsidRPr="00E6557D">
              <w:rPr>
                <w:sz w:val="18"/>
                <w:szCs w:val="18"/>
              </w:rPr>
              <w:t>9 657 090</w:t>
            </w:r>
          </w:p>
        </w:tc>
        <w:tc>
          <w:tcPr>
            <w:tcW w:w="633" w:type="pct"/>
            <w:vAlign w:val="center"/>
          </w:tcPr>
          <w:p w:rsidR="009061ED" w:rsidRPr="00E6557D" w:rsidRDefault="00E6557D" w:rsidP="00E6557D">
            <w:pPr>
              <w:jc w:val="center"/>
              <w:rPr>
                <w:sz w:val="18"/>
                <w:szCs w:val="18"/>
              </w:rPr>
            </w:pPr>
            <w:r w:rsidRPr="00E6557D">
              <w:rPr>
                <w:sz w:val="18"/>
                <w:szCs w:val="18"/>
              </w:rPr>
              <w:t>9 386 262</w:t>
            </w:r>
          </w:p>
        </w:tc>
        <w:tc>
          <w:tcPr>
            <w:tcW w:w="633" w:type="pct"/>
            <w:tcBorders>
              <w:right w:val="double" w:sz="4" w:space="0" w:color="auto"/>
            </w:tcBorders>
            <w:vAlign w:val="center"/>
          </w:tcPr>
          <w:p w:rsidR="009061ED" w:rsidRPr="00E6557D" w:rsidRDefault="00E6557D" w:rsidP="00E6557D">
            <w:pPr>
              <w:keepNext/>
              <w:jc w:val="center"/>
              <w:rPr>
                <w:sz w:val="18"/>
                <w:szCs w:val="18"/>
              </w:rPr>
            </w:pPr>
            <w:r w:rsidRPr="00E6557D">
              <w:rPr>
                <w:sz w:val="18"/>
                <w:szCs w:val="18"/>
              </w:rPr>
              <w:t>8 066 072</w:t>
            </w:r>
          </w:p>
        </w:tc>
      </w:tr>
      <w:tr w:rsidR="00A874EB" w:rsidTr="00A874EB">
        <w:tc>
          <w:tcPr>
            <w:tcW w:w="1203" w:type="pct"/>
            <w:tcBorders>
              <w:left w:val="double" w:sz="4" w:space="0" w:color="auto"/>
            </w:tcBorders>
            <w:shd w:val="clear" w:color="auto" w:fill="BCD9DE" w:themeFill="accent5" w:themeFillTint="66"/>
            <w:vAlign w:val="center"/>
          </w:tcPr>
          <w:p w:rsidR="00E6557D" w:rsidRDefault="00E6557D" w:rsidP="006B233F">
            <w:pPr>
              <w:pStyle w:val="Bezmezer"/>
              <w:jc w:val="center"/>
              <w:rPr>
                <w:b/>
                <w:sz w:val="18"/>
              </w:rPr>
            </w:pPr>
            <w:r w:rsidRPr="004E092F">
              <w:rPr>
                <w:b/>
                <w:sz w:val="18"/>
              </w:rPr>
              <w:t>POČET OBYVATEL</w:t>
            </w:r>
          </w:p>
          <w:p w:rsidR="00E6557D" w:rsidRPr="004E092F" w:rsidRDefault="00E6557D" w:rsidP="006B233F">
            <w:pPr>
              <w:pStyle w:val="Bezmezer"/>
              <w:jc w:val="center"/>
              <w:rPr>
                <w:b/>
                <w:sz w:val="18"/>
              </w:rPr>
            </w:pPr>
            <w:r>
              <w:rPr>
                <w:b/>
                <w:sz w:val="18"/>
              </w:rPr>
              <w:t>(STŘEDNÍ VARIANTA)</w:t>
            </w:r>
          </w:p>
        </w:tc>
        <w:tc>
          <w:tcPr>
            <w:tcW w:w="633" w:type="pct"/>
            <w:vAlign w:val="center"/>
          </w:tcPr>
          <w:p w:rsidR="00E6557D" w:rsidRPr="00E6557D" w:rsidRDefault="00E6557D" w:rsidP="00E6557D">
            <w:pPr>
              <w:jc w:val="center"/>
              <w:rPr>
                <w:sz w:val="18"/>
                <w:szCs w:val="18"/>
              </w:rPr>
            </w:pPr>
            <w:r w:rsidRPr="00E6557D">
              <w:rPr>
                <w:sz w:val="18"/>
                <w:szCs w:val="18"/>
              </w:rPr>
              <w:t>10 283 042</w:t>
            </w:r>
          </w:p>
        </w:tc>
        <w:tc>
          <w:tcPr>
            <w:tcW w:w="633" w:type="pct"/>
            <w:vAlign w:val="center"/>
          </w:tcPr>
          <w:p w:rsidR="00E6557D" w:rsidRPr="00E6557D" w:rsidRDefault="00E6557D" w:rsidP="00E6557D">
            <w:pPr>
              <w:jc w:val="center"/>
              <w:rPr>
                <w:sz w:val="18"/>
                <w:szCs w:val="18"/>
              </w:rPr>
            </w:pPr>
            <w:r w:rsidRPr="00E6557D">
              <w:rPr>
                <w:sz w:val="18"/>
                <w:szCs w:val="18"/>
              </w:rPr>
              <w:t>10 301 994</w:t>
            </w:r>
          </w:p>
        </w:tc>
        <w:tc>
          <w:tcPr>
            <w:tcW w:w="633" w:type="pct"/>
            <w:vAlign w:val="center"/>
          </w:tcPr>
          <w:p w:rsidR="00E6557D" w:rsidRPr="00E6557D" w:rsidRDefault="00E6557D" w:rsidP="00E6557D">
            <w:pPr>
              <w:jc w:val="center"/>
              <w:rPr>
                <w:sz w:val="18"/>
                <w:szCs w:val="18"/>
              </w:rPr>
            </w:pPr>
            <w:r w:rsidRPr="00E6557D">
              <w:rPr>
                <w:sz w:val="18"/>
                <w:szCs w:val="18"/>
              </w:rPr>
              <w:t>10 283 929</w:t>
            </w:r>
          </w:p>
        </w:tc>
        <w:tc>
          <w:tcPr>
            <w:tcW w:w="633" w:type="pct"/>
            <w:vAlign w:val="center"/>
          </w:tcPr>
          <w:p w:rsidR="00E6557D" w:rsidRPr="00E6557D" w:rsidRDefault="00E6557D" w:rsidP="00E6557D">
            <w:pPr>
              <w:jc w:val="center"/>
              <w:rPr>
                <w:sz w:val="18"/>
                <w:szCs w:val="18"/>
              </w:rPr>
            </w:pPr>
            <w:r w:rsidRPr="00E6557D">
              <w:rPr>
                <w:sz w:val="18"/>
                <w:szCs w:val="18"/>
              </w:rPr>
              <w:t>10 217 200</w:t>
            </w:r>
          </w:p>
        </w:tc>
        <w:tc>
          <w:tcPr>
            <w:tcW w:w="633" w:type="pct"/>
            <w:vAlign w:val="center"/>
          </w:tcPr>
          <w:p w:rsidR="00E6557D" w:rsidRPr="00E6557D" w:rsidRDefault="00E6557D" w:rsidP="00E6557D">
            <w:pPr>
              <w:jc w:val="center"/>
              <w:rPr>
                <w:sz w:val="18"/>
                <w:szCs w:val="18"/>
              </w:rPr>
            </w:pPr>
            <w:r w:rsidRPr="00E6557D">
              <w:rPr>
                <w:sz w:val="18"/>
                <w:szCs w:val="18"/>
              </w:rPr>
              <w:t>10 102 433</w:t>
            </w:r>
          </w:p>
        </w:tc>
        <w:tc>
          <w:tcPr>
            <w:tcW w:w="633" w:type="pct"/>
            <w:tcBorders>
              <w:right w:val="double" w:sz="4" w:space="0" w:color="auto"/>
            </w:tcBorders>
            <w:vAlign w:val="center"/>
          </w:tcPr>
          <w:p w:rsidR="00E6557D" w:rsidRPr="00E6557D" w:rsidRDefault="00E6557D" w:rsidP="00E6557D">
            <w:pPr>
              <w:keepNext/>
              <w:jc w:val="center"/>
              <w:rPr>
                <w:sz w:val="18"/>
                <w:szCs w:val="18"/>
              </w:rPr>
            </w:pPr>
            <w:r w:rsidRPr="00E6557D">
              <w:rPr>
                <w:sz w:val="18"/>
                <w:szCs w:val="18"/>
              </w:rPr>
              <w:t>9 438 334</w:t>
            </w:r>
          </w:p>
        </w:tc>
      </w:tr>
      <w:tr w:rsidR="00A874EB" w:rsidTr="00A874EB">
        <w:tc>
          <w:tcPr>
            <w:tcW w:w="1203" w:type="pct"/>
            <w:tcBorders>
              <w:left w:val="double" w:sz="4" w:space="0" w:color="auto"/>
              <w:bottom w:val="double" w:sz="4" w:space="0" w:color="auto"/>
            </w:tcBorders>
            <w:shd w:val="clear" w:color="auto" w:fill="BCD9DE" w:themeFill="accent5" w:themeFillTint="66"/>
            <w:vAlign w:val="center"/>
          </w:tcPr>
          <w:p w:rsidR="00E6557D" w:rsidRDefault="00E6557D" w:rsidP="006B233F">
            <w:pPr>
              <w:pStyle w:val="Bezmezer"/>
              <w:jc w:val="center"/>
              <w:rPr>
                <w:b/>
                <w:sz w:val="18"/>
              </w:rPr>
            </w:pPr>
            <w:r w:rsidRPr="004E092F">
              <w:rPr>
                <w:b/>
                <w:sz w:val="18"/>
              </w:rPr>
              <w:t>POČET OBYVATEL</w:t>
            </w:r>
          </w:p>
          <w:p w:rsidR="00E6557D" w:rsidRPr="004E092F" w:rsidRDefault="00E6557D" w:rsidP="006B233F">
            <w:pPr>
              <w:pStyle w:val="Bezmezer"/>
              <w:jc w:val="center"/>
              <w:rPr>
                <w:b/>
                <w:sz w:val="18"/>
              </w:rPr>
            </w:pPr>
            <w:r>
              <w:rPr>
                <w:b/>
                <w:sz w:val="18"/>
              </w:rPr>
              <w:t>(VYSOKÁ VARIANTA)</w:t>
            </w:r>
          </w:p>
        </w:tc>
        <w:tc>
          <w:tcPr>
            <w:tcW w:w="633" w:type="pct"/>
            <w:tcBorders>
              <w:bottom w:val="double" w:sz="4" w:space="0" w:color="auto"/>
            </w:tcBorders>
            <w:vAlign w:val="center"/>
          </w:tcPr>
          <w:p w:rsidR="00E6557D" w:rsidRPr="00E6557D" w:rsidRDefault="00E6557D" w:rsidP="00E6557D">
            <w:pPr>
              <w:jc w:val="center"/>
              <w:rPr>
                <w:sz w:val="18"/>
                <w:szCs w:val="18"/>
              </w:rPr>
            </w:pPr>
            <w:r w:rsidRPr="00E6557D">
              <w:rPr>
                <w:sz w:val="18"/>
                <w:szCs w:val="18"/>
              </w:rPr>
              <w:t>10 432 067</w:t>
            </w:r>
          </w:p>
        </w:tc>
        <w:tc>
          <w:tcPr>
            <w:tcW w:w="633" w:type="pct"/>
            <w:tcBorders>
              <w:bottom w:val="double" w:sz="4" w:space="0" w:color="auto"/>
            </w:tcBorders>
            <w:vAlign w:val="center"/>
          </w:tcPr>
          <w:p w:rsidR="00E6557D" w:rsidRPr="00E6557D" w:rsidRDefault="00E6557D" w:rsidP="00E6557D">
            <w:pPr>
              <w:jc w:val="center"/>
              <w:rPr>
                <w:sz w:val="18"/>
                <w:szCs w:val="18"/>
              </w:rPr>
            </w:pPr>
            <w:r w:rsidRPr="00E6557D">
              <w:rPr>
                <w:sz w:val="18"/>
                <w:szCs w:val="18"/>
              </w:rPr>
              <w:t>10 578 281</w:t>
            </w:r>
          </w:p>
        </w:tc>
        <w:tc>
          <w:tcPr>
            <w:tcW w:w="633" w:type="pct"/>
            <w:tcBorders>
              <w:bottom w:val="double" w:sz="4" w:space="0" w:color="auto"/>
            </w:tcBorders>
            <w:vAlign w:val="center"/>
          </w:tcPr>
          <w:p w:rsidR="00E6557D" w:rsidRPr="00E6557D" w:rsidRDefault="00E6557D" w:rsidP="00E6557D">
            <w:pPr>
              <w:jc w:val="center"/>
              <w:rPr>
                <w:sz w:val="18"/>
                <w:szCs w:val="18"/>
              </w:rPr>
            </w:pPr>
            <w:r w:rsidRPr="00E6557D">
              <w:rPr>
                <w:sz w:val="18"/>
                <w:szCs w:val="18"/>
              </w:rPr>
              <w:t>10 700 030</w:t>
            </w:r>
          </w:p>
        </w:tc>
        <w:tc>
          <w:tcPr>
            <w:tcW w:w="633" w:type="pct"/>
            <w:tcBorders>
              <w:bottom w:val="double" w:sz="4" w:space="0" w:color="auto"/>
            </w:tcBorders>
            <w:vAlign w:val="center"/>
          </w:tcPr>
          <w:p w:rsidR="00E6557D" w:rsidRPr="00E6557D" w:rsidRDefault="00E6557D" w:rsidP="00E6557D">
            <w:pPr>
              <w:jc w:val="center"/>
              <w:rPr>
                <w:sz w:val="18"/>
                <w:szCs w:val="18"/>
              </w:rPr>
            </w:pPr>
            <w:r w:rsidRPr="00E6557D">
              <w:rPr>
                <w:sz w:val="18"/>
                <w:szCs w:val="18"/>
              </w:rPr>
              <w:t>10 782 381</w:t>
            </w:r>
          </w:p>
        </w:tc>
        <w:tc>
          <w:tcPr>
            <w:tcW w:w="633" w:type="pct"/>
            <w:tcBorders>
              <w:bottom w:val="double" w:sz="4" w:space="0" w:color="auto"/>
            </w:tcBorders>
            <w:vAlign w:val="center"/>
          </w:tcPr>
          <w:p w:rsidR="00E6557D" w:rsidRPr="00E6557D" w:rsidRDefault="00E6557D" w:rsidP="00E6557D">
            <w:pPr>
              <w:jc w:val="center"/>
              <w:rPr>
                <w:sz w:val="18"/>
                <w:szCs w:val="18"/>
              </w:rPr>
            </w:pPr>
            <w:r w:rsidRPr="00E6557D">
              <w:rPr>
                <w:sz w:val="18"/>
                <w:szCs w:val="18"/>
              </w:rPr>
              <w:t>10 822 994</w:t>
            </w:r>
          </w:p>
        </w:tc>
        <w:tc>
          <w:tcPr>
            <w:tcW w:w="633" w:type="pct"/>
            <w:tcBorders>
              <w:bottom w:val="double" w:sz="4" w:space="0" w:color="auto"/>
              <w:right w:val="double" w:sz="4" w:space="0" w:color="auto"/>
            </w:tcBorders>
            <w:vAlign w:val="center"/>
          </w:tcPr>
          <w:p w:rsidR="00E6557D" w:rsidRPr="00E6557D" w:rsidRDefault="00E6557D" w:rsidP="00E6557D">
            <w:pPr>
              <w:keepNext/>
              <w:jc w:val="center"/>
              <w:rPr>
                <w:sz w:val="18"/>
                <w:szCs w:val="18"/>
              </w:rPr>
            </w:pPr>
            <w:r w:rsidRPr="00E6557D">
              <w:rPr>
                <w:sz w:val="18"/>
                <w:szCs w:val="18"/>
              </w:rPr>
              <w:t>10 830 080</w:t>
            </w:r>
          </w:p>
        </w:tc>
      </w:tr>
    </w:tbl>
    <w:p w:rsidR="008F6709" w:rsidRDefault="009061ED" w:rsidP="009061ED">
      <w:pPr>
        <w:pStyle w:val="Tabulka"/>
      </w:pPr>
      <w:bookmarkStart w:id="2" w:name="_Toc469908876"/>
      <w:r>
        <w:t xml:space="preserve">Tab. </w:t>
      </w:r>
      <w:r w:rsidR="005D1BD9">
        <w:fldChar w:fldCharType="begin"/>
      </w:r>
      <w:r w:rsidR="005D1BD9">
        <w:instrText xml:space="preserve"> SEQ Tab. \* ARABIC </w:instrText>
      </w:r>
      <w:r w:rsidR="005D1BD9">
        <w:fldChar w:fldCharType="separate"/>
      </w:r>
      <w:r w:rsidR="003A35BB">
        <w:rPr>
          <w:noProof/>
        </w:rPr>
        <w:t>2</w:t>
      </w:r>
      <w:r w:rsidR="005D1BD9">
        <w:rPr>
          <w:noProof/>
        </w:rPr>
        <w:fldChar w:fldCharType="end"/>
      </w:r>
      <w:r w:rsidR="00E6557D">
        <w:t xml:space="preserve"> Populační prognóza České republiky do roku 2050 – nízká, střední a vysoká varianta</w:t>
      </w:r>
      <w:bookmarkEnd w:id="2"/>
    </w:p>
    <w:p w:rsidR="00623AEB" w:rsidRDefault="00E6557D" w:rsidP="00E6557D">
      <w:r>
        <w:t>Při porovnání stávajícího stavu počtu obyvatel s předpokládaným vývojem z roku 2004 je evidentní, že se současný stav nejvíce blíží vysoké variantě populační prognózy a počet obyvatel oproti původním předpokladům vzrostl.</w:t>
      </w:r>
      <w:r w:rsidR="00623AEB">
        <w:t xml:space="preserve"> </w:t>
      </w:r>
    </w:p>
    <w:p w:rsidR="001D204D" w:rsidRDefault="00623AEB" w:rsidP="00A874EB">
      <w:r>
        <w:t>Závěry projekce obyvatelstva České republiky do roku 2050 počítají se snížením počtu obyvatel. Důvodem bude předpokládaná nízká porodnost, která přispěje k populačnímu stárnutí. Populační stárnutí také bude podpořeno zvýšením délky dožití obyvatel. Předpokládá se, že Česká republika bude migrační zemí a bude získávat obyvatele stěhováním ze zahraničí.</w:t>
      </w:r>
      <w:r w:rsidR="001D204D">
        <w:br w:type="page"/>
      </w:r>
    </w:p>
    <w:p w:rsidR="00914D82" w:rsidRPr="00F027C5" w:rsidRDefault="008B0DB6" w:rsidP="006A1FD8">
      <w:pPr>
        <w:pStyle w:val="Nadpis1"/>
      </w:pPr>
      <w:bookmarkStart w:id="3" w:name="_Toc469989343"/>
      <w:r>
        <w:lastRenderedPageBreak/>
        <w:t xml:space="preserve">Vývoj </w:t>
      </w:r>
      <w:r w:rsidR="00BB606E">
        <w:t xml:space="preserve">a </w:t>
      </w:r>
      <w:r w:rsidR="00643A52">
        <w:t>předpokládaný</w:t>
      </w:r>
      <w:r w:rsidR="00BB606E">
        <w:t xml:space="preserve"> vývoj </w:t>
      </w:r>
      <w:r>
        <w:t>počtu obyvatel Olomouckého kraje</w:t>
      </w:r>
      <w:bookmarkEnd w:id="3"/>
    </w:p>
    <w:p w:rsidR="002B5CBE" w:rsidRDefault="002B5CBE">
      <w:r>
        <w:t xml:space="preserve">Olomoucký kraj zaujímá polohu střední a severní Moravy. Na východě tvoří hranici s Moravskoslezským </w:t>
      </w:r>
      <w:r w:rsidR="00333C9C">
        <w:t xml:space="preserve">krajem, jihovýchodně s krajem Zlínským, jihozápadně s Jihomoravským krajem a západní hranice je tvořena s Pardubickým krajem. </w:t>
      </w:r>
      <w:r w:rsidR="00D724F3">
        <w:t>V severní části</w:t>
      </w:r>
      <w:r w:rsidR="008636DD">
        <w:t xml:space="preserve"> </w:t>
      </w:r>
      <w:r w:rsidR="005B0C28">
        <w:t xml:space="preserve">kraje </w:t>
      </w:r>
      <w:r w:rsidR="00D724F3">
        <w:t>se nachází</w:t>
      </w:r>
      <w:r w:rsidR="005B0C28">
        <w:t xml:space="preserve"> Javornický výběž</w:t>
      </w:r>
      <w:r w:rsidR="00D724F3">
        <w:t>ek</w:t>
      </w:r>
      <w:r w:rsidR="005B0C28">
        <w:t xml:space="preserve">, který tvoří </w:t>
      </w:r>
      <w:r w:rsidR="00D724F3">
        <w:t>ze severu a severozápadu státní hranici s Polskou republikou.</w:t>
      </w:r>
    </w:p>
    <w:p w:rsidR="009B3148" w:rsidRDefault="009B3148" w:rsidP="005212D3">
      <w:r>
        <w:t>K 31. 12. 2015 žilo v Olomouckém kraji</w:t>
      </w:r>
      <w:r w:rsidR="00104D51">
        <w:t xml:space="preserve"> 634 718 obyvatel</w:t>
      </w:r>
      <w:r w:rsidR="001F1BA2">
        <w:t>. Vývoj počtu obyvatel je mírně klesající. K 1.</w:t>
      </w:r>
      <w:r w:rsidR="00261EDB">
        <w:t xml:space="preserve"> </w:t>
      </w:r>
      <w:r w:rsidR="001F1BA2">
        <w:t>1.</w:t>
      </w:r>
      <w:r w:rsidR="00261EDB">
        <w:t xml:space="preserve"> </w:t>
      </w:r>
      <w:r w:rsidR="001F1BA2">
        <w:t xml:space="preserve">1991 bylo evidováno </w:t>
      </w:r>
      <w:r w:rsidR="00261EDB">
        <w:t xml:space="preserve">na území dnešního Olomouckého kraje 647 911 obyvatel, 1. 1. </w:t>
      </w:r>
      <w:r w:rsidR="00B90D9E">
        <w:t xml:space="preserve">2001 byl počet obyvatel 642 783, což byl pokles oproti předchozímu stavu o </w:t>
      </w:r>
      <w:r w:rsidR="004D6912">
        <w:t>0,8 %</w:t>
      </w:r>
      <w:r w:rsidR="000351DD">
        <w:t xml:space="preserve"> tj. </w:t>
      </w:r>
      <w:r w:rsidR="002E3AB2">
        <w:t xml:space="preserve">5 128 </w:t>
      </w:r>
      <w:r w:rsidR="000351DD">
        <w:t>obyvatel</w:t>
      </w:r>
      <w:r w:rsidR="004D6912">
        <w:t xml:space="preserve">. K 1. 1. 2011 došlo oproti předchozím </w:t>
      </w:r>
      <w:r w:rsidR="005212D3">
        <w:t>rokům</w:t>
      </w:r>
      <w:r w:rsidR="004D6912">
        <w:t xml:space="preserve"> opět k mírnému poklesu obyvatel na 638 638. </w:t>
      </w:r>
      <w:r w:rsidR="005177CB">
        <w:t>Oproti roku 2001 to byl pokles o 0,6 %</w:t>
      </w:r>
      <w:r w:rsidR="00B26738">
        <w:t xml:space="preserve"> tj.</w:t>
      </w:r>
      <w:r w:rsidR="002E3AB2">
        <w:t xml:space="preserve"> 4 145</w:t>
      </w:r>
      <w:r w:rsidR="000351DD">
        <w:t xml:space="preserve"> obyvatel</w:t>
      </w:r>
      <w:r w:rsidR="005177CB">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71"/>
        <w:gridCol w:w="1350"/>
        <w:gridCol w:w="1350"/>
        <w:gridCol w:w="680"/>
        <w:gridCol w:w="1265"/>
        <w:gridCol w:w="1350"/>
        <w:gridCol w:w="1336"/>
      </w:tblGrid>
      <w:tr w:rsidR="00F30BD1" w:rsidRPr="00BE4E54" w:rsidTr="00B9649A">
        <w:trPr>
          <w:cantSplit/>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ROK</w:t>
            </w:r>
          </w:p>
        </w:tc>
        <w:tc>
          <w:tcPr>
            <w:tcW w:w="684" w:type="pct"/>
            <w:tcBorders>
              <w:top w:val="double" w:sz="4" w:space="0" w:color="auto"/>
              <w:bottom w:val="single" w:sz="6"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MEZIROČNÍ PŘÍRŮSTEK</w:t>
            </w:r>
          </w:p>
        </w:tc>
        <w:tc>
          <w:tcPr>
            <w:tcW w:w="719" w:type="pct"/>
            <w:tcBorders>
              <w:top w:val="double" w:sz="4" w:space="0" w:color="auto"/>
              <w:bottom w:val="single" w:sz="6" w:space="0" w:color="auto"/>
              <w:right w:val="double" w:sz="4" w:space="0" w:color="auto"/>
            </w:tcBorders>
            <w:shd w:val="clear" w:color="auto" w:fill="BCD9DE" w:themeFill="accent5" w:themeFillTint="66"/>
            <w:vAlign w:val="center"/>
          </w:tcPr>
          <w:p w:rsidR="00F30BD1" w:rsidRPr="004E092F" w:rsidRDefault="00F30BD1" w:rsidP="00AC0813">
            <w:pPr>
              <w:pStyle w:val="Bezmezer"/>
              <w:jc w:val="center"/>
              <w:rPr>
                <w:b/>
                <w:sz w:val="18"/>
              </w:rPr>
            </w:pPr>
            <w:r w:rsidRPr="004E092F">
              <w:rPr>
                <w:b/>
                <w:sz w:val="18"/>
              </w:rPr>
              <w:t>MEZIROČNÍ PŘÍRŮSTEK (%)</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1991</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643 365</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-3716</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-0,58%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635 126</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-1187</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-0,19%</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1992</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645 208</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1843</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0,29%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639 161</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4035</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0,63%</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1993</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645 911</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703</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639 894</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733</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0,11%</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1994</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646 514</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603</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0,09%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641 791</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1897</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0,30%</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1995</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645 804</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-710</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642 137</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346</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0,05%</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1996</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644 987</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-817</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642 041</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-96</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-0,01%</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1997</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643 946</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-1041</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641 681</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-360</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-0,06%</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1998</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642 961</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-985</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638 638</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-3043</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-0,48%</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1999</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642 016</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-945</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637 609</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-1029</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-0,16%</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2000</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641 072</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-944</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636 356</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-1253</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-0,20%</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2001</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638 374</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-2698</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-0,42%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635 711</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-645</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-0,10%</w:t>
            </w:r>
          </w:p>
        </w:tc>
      </w:tr>
      <w:tr w:rsidR="006A026E" w:rsidRPr="00BE4E54" w:rsidTr="00B9649A">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2002</w:t>
            </w:r>
          </w:p>
        </w:tc>
        <w:tc>
          <w:tcPr>
            <w:tcW w:w="684"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636 750</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-1624</w:t>
            </w:r>
          </w:p>
        </w:tc>
        <w:tc>
          <w:tcPr>
            <w:tcW w:w="727"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-0,26%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6A026E" w:rsidRPr="006A026E" w:rsidRDefault="006A026E" w:rsidP="006A026E">
            <w:pPr>
              <w:pStyle w:val="Bezmezer"/>
              <w:jc w:val="center"/>
              <w:rPr>
                <w:b/>
                <w:sz w:val="18"/>
                <w:szCs w:val="18"/>
              </w:rPr>
            </w:pPr>
            <w:r w:rsidRPr="006A026E">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634 718</w:t>
            </w:r>
          </w:p>
        </w:tc>
        <w:tc>
          <w:tcPr>
            <w:tcW w:w="727" w:type="pct"/>
            <w:tcBorders>
              <w:top w:val="single" w:sz="6" w:space="0" w:color="auto"/>
              <w:left w:val="single" w:sz="6" w:space="0" w:color="auto"/>
              <w:bottom w:val="single" w:sz="6" w:space="0" w:color="auto"/>
              <w:right w:val="single" w:sz="6" w:space="0" w:color="auto"/>
            </w:tcBorders>
            <w:vAlign w:val="center"/>
          </w:tcPr>
          <w:p w:rsidR="006A026E" w:rsidRPr="006A026E" w:rsidRDefault="006A026E" w:rsidP="006A026E">
            <w:pPr>
              <w:jc w:val="center"/>
              <w:rPr>
                <w:sz w:val="18"/>
                <w:szCs w:val="18"/>
              </w:rPr>
            </w:pPr>
            <w:r w:rsidRPr="006A026E">
              <w:rPr>
                <w:sz w:val="18"/>
                <w:szCs w:val="18"/>
              </w:rPr>
              <w:t>-993</w:t>
            </w:r>
          </w:p>
        </w:tc>
        <w:tc>
          <w:tcPr>
            <w:tcW w:w="719" w:type="pct"/>
            <w:tcBorders>
              <w:top w:val="single" w:sz="6" w:space="0" w:color="auto"/>
              <w:left w:val="single" w:sz="6" w:space="0" w:color="auto"/>
              <w:bottom w:val="single" w:sz="6" w:space="0" w:color="auto"/>
              <w:right w:val="double" w:sz="4" w:space="0" w:color="auto"/>
            </w:tcBorders>
            <w:vAlign w:val="center"/>
          </w:tcPr>
          <w:p w:rsidR="006A026E" w:rsidRPr="006A026E" w:rsidRDefault="006A026E" w:rsidP="006A026E">
            <w:pPr>
              <w:jc w:val="center"/>
              <w:rPr>
                <w:sz w:val="18"/>
                <w:szCs w:val="18"/>
              </w:rPr>
            </w:pPr>
            <w:r w:rsidRPr="006A026E">
              <w:rPr>
                <w:sz w:val="18"/>
                <w:szCs w:val="18"/>
              </w:rPr>
              <w:t>-0,16%</w:t>
            </w:r>
          </w:p>
        </w:tc>
      </w:tr>
      <w:tr w:rsidR="00BD1BAB" w:rsidRPr="00BE4E54" w:rsidTr="00B9649A">
        <w:trPr>
          <w:cantSplit/>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BD1BAB" w:rsidRPr="006A026E" w:rsidRDefault="00BD1BAB" w:rsidP="006A026E">
            <w:pPr>
              <w:pStyle w:val="Bezmezer"/>
              <w:jc w:val="center"/>
              <w:rPr>
                <w:b/>
                <w:sz w:val="18"/>
                <w:szCs w:val="18"/>
              </w:rPr>
            </w:pPr>
            <w:r w:rsidRPr="006A026E">
              <w:rPr>
                <w:b/>
                <w:sz w:val="18"/>
                <w:szCs w:val="18"/>
              </w:rPr>
              <w:t>2003</w:t>
            </w:r>
          </w:p>
        </w:tc>
        <w:tc>
          <w:tcPr>
            <w:tcW w:w="684" w:type="pct"/>
            <w:tcBorders>
              <w:top w:val="single" w:sz="6" w:space="0" w:color="auto"/>
              <w:left w:val="single" w:sz="6" w:space="0" w:color="auto"/>
              <w:bottom w:val="double" w:sz="4" w:space="0" w:color="auto"/>
              <w:right w:val="single" w:sz="6" w:space="0" w:color="auto"/>
            </w:tcBorders>
            <w:vAlign w:val="center"/>
          </w:tcPr>
          <w:p w:rsidR="00BD1BAB" w:rsidRPr="006A026E" w:rsidRDefault="00BD1BAB" w:rsidP="006A026E">
            <w:pPr>
              <w:jc w:val="center"/>
              <w:rPr>
                <w:sz w:val="18"/>
                <w:szCs w:val="18"/>
              </w:rPr>
            </w:pPr>
            <w:r w:rsidRPr="006A026E">
              <w:rPr>
                <w:sz w:val="18"/>
                <w:szCs w:val="18"/>
              </w:rPr>
              <w:t>636 313</w:t>
            </w:r>
          </w:p>
        </w:tc>
        <w:tc>
          <w:tcPr>
            <w:tcW w:w="727" w:type="pct"/>
            <w:tcBorders>
              <w:top w:val="single" w:sz="6" w:space="0" w:color="auto"/>
              <w:left w:val="single" w:sz="6" w:space="0" w:color="auto"/>
              <w:bottom w:val="double" w:sz="4" w:space="0" w:color="auto"/>
              <w:right w:val="single" w:sz="6" w:space="0" w:color="auto"/>
            </w:tcBorders>
            <w:vAlign w:val="center"/>
          </w:tcPr>
          <w:p w:rsidR="00BD1BAB" w:rsidRPr="006A026E" w:rsidRDefault="00BD1BAB" w:rsidP="006A026E">
            <w:pPr>
              <w:jc w:val="center"/>
              <w:rPr>
                <w:sz w:val="18"/>
                <w:szCs w:val="18"/>
              </w:rPr>
            </w:pPr>
            <w:r w:rsidRPr="006A026E">
              <w:rPr>
                <w:sz w:val="18"/>
                <w:szCs w:val="18"/>
              </w:rPr>
              <w:t>-437</w:t>
            </w:r>
          </w:p>
        </w:tc>
        <w:tc>
          <w:tcPr>
            <w:tcW w:w="727" w:type="pct"/>
            <w:tcBorders>
              <w:top w:val="single" w:sz="6" w:space="0" w:color="auto"/>
              <w:left w:val="single" w:sz="6" w:space="0" w:color="auto"/>
              <w:bottom w:val="double" w:sz="4" w:space="0" w:color="auto"/>
              <w:right w:val="double" w:sz="4" w:space="0" w:color="auto"/>
            </w:tcBorders>
            <w:vAlign w:val="center"/>
          </w:tcPr>
          <w:p w:rsidR="00BD1BAB" w:rsidRPr="006A026E" w:rsidRDefault="00BD1BAB" w:rsidP="006A026E">
            <w:pPr>
              <w:jc w:val="center"/>
              <w:rPr>
                <w:sz w:val="18"/>
                <w:szCs w:val="18"/>
              </w:rPr>
            </w:pPr>
            <w:r w:rsidRPr="006A026E">
              <w:rPr>
                <w:sz w:val="18"/>
                <w:szCs w:val="18"/>
              </w:rPr>
              <w:t>-</w:t>
            </w:r>
            <w:r w:rsidR="006A026E" w:rsidRPr="006A026E">
              <w:rPr>
                <w:sz w:val="18"/>
                <w:szCs w:val="18"/>
              </w:rPr>
              <w:t>0,</w:t>
            </w:r>
            <w:r w:rsidRPr="006A026E">
              <w:rPr>
                <w:sz w:val="18"/>
                <w:szCs w:val="18"/>
              </w:rPr>
              <w:t>07%</w:t>
            </w:r>
          </w:p>
        </w:tc>
        <w:tc>
          <w:tcPr>
            <w:tcW w:w="2493"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BD1BAB" w:rsidRPr="006A026E" w:rsidRDefault="00BD1BAB" w:rsidP="007E64EF">
            <w:pPr>
              <w:pStyle w:val="Bezmezer"/>
              <w:keepNext/>
              <w:jc w:val="center"/>
              <w:rPr>
                <w:sz w:val="18"/>
                <w:szCs w:val="18"/>
              </w:rPr>
            </w:pPr>
          </w:p>
        </w:tc>
      </w:tr>
    </w:tbl>
    <w:p w:rsidR="007E64EF" w:rsidRDefault="007E64EF" w:rsidP="00D4363C">
      <w:pPr>
        <w:pStyle w:val="Tabulka"/>
      </w:pPr>
      <w:bookmarkStart w:id="4" w:name="_Toc469908877"/>
      <w:r>
        <w:t xml:space="preserve">Tab. </w:t>
      </w:r>
      <w:r w:rsidR="005D1BD9">
        <w:fldChar w:fldCharType="begin"/>
      </w:r>
      <w:r w:rsidR="005D1BD9">
        <w:instrText xml:space="preserve"> SEQ Tab. \* ARABIC </w:instrText>
      </w:r>
      <w:r w:rsidR="005D1BD9">
        <w:fldChar w:fldCharType="separate"/>
      </w:r>
      <w:r w:rsidR="003A35BB">
        <w:rPr>
          <w:noProof/>
        </w:rPr>
        <w:t>3</w:t>
      </w:r>
      <w:r w:rsidR="005D1BD9">
        <w:rPr>
          <w:noProof/>
        </w:rPr>
        <w:fldChar w:fldCharType="end"/>
      </w:r>
      <w:r w:rsidR="008A647C">
        <w:rPr>
          <w:noProof/>
        </w:rPr>
        <w:t xml:space="preserve"> Vývoj počtu obyvatel Olomouckého kraje mezi lety 1991 – 2015</w:t>
      </w:r>
      <w:bookmarkEnd w:id="4"/>
    </w:p>
    <w:p w:rsidR="00A155C7" w:rsidRDefault="00BC5376" w:rsidP="0016304D">
      <w:r>
        <w:t xml:space="preserve">Z </w:t>
      </w:r>
      <w:r w:rsidRPr="00BC5376">
        <w:rPr>
          <w:i/>
        </w:rPr>
        <w:t>Tab. 3 Vývoj počtu obyvatel Olomouckého kraje mezi lety 1991 – 2015</w:t>
      </w:r>
      <w:r>
        <w:t xml:space="preserve"> je patrné, že mezi</w:t>
      </w:r>
      <w:r w:rsidR="00CF77BA">
        <w:t xml:space="preserve"> lety 2005 – 2008 došlo k neobvyklému nárůstu počtu obyvatel</w:t>
      </w:r>
      <w:r w:rsidR="00A155C7">
        <w:t>,</w:t>
      </w:r>
      <w:r w:rsidR="00CF77BA">
        <w:t xml:space="preserve"> ke kterému došlo</w:t>
      </w:r>
      <w:r w:rsidR="00A155C7">
        <w:t xml:space="preserve"> shodou tří faktorů:</w:t>
      </w:r>
    </w:p>
    <w:p w:rsidR="00CF77BA" w:rsidRDefault="007D070E" w:rsidP="00A155C7">
      <w:pPr>
        <w:pStyle w:val="Odstavecseseznamem"/>
        <w:numPr>
          <w:ilvl w:val="0"/>
          <w:numId w:val="16"/>
        </w:numPr>
      </w:pPr>
      <w:r>
        <w:t>od 1. 1. 2005 se součástí územního celku Olomouckého stal</w:t>
      </w:r>
      <w:r w:rsidR="00E063CF">
        <w:t>y</w:t>
      </w:r>
      <w:r>
        <w:t xml:space="preserve"> město Moravský Beroun a obce Huzová a </w:t>
      </w:r>
      <w:r w:rsidR="00E063CF">
        <w:t>Norberčany. Došlo tak ke skokovému nárůstu o 4</w:t>
      </w:r>
      <w:r w:rsidR="008517C9">
        <w:t> </w:t>
      </w:r>
      <w:r w:rsidR="00E063CF">
        <w:t>297</w:t>
      </w:r>
      <w:r w:rsidR="008517C9">
        <w:t xml:space="preserve"> obyvatel;</w:t>
      </w:r>
    </w:p>
    <w:p w:rsidR="008517C9" w:rsidRDefault="008517C9" w:rsidP="00A155C7">
      <w:pPr>
        <w:pStyle w:val="Odstavecseseznamem"/>
        <w:numPr>
          <w:ilvl w:val="0"/>
          <w:numId w:val="16"/>
        </w:numPr>
      </w:pPr>
      <w:r>
        <w:t xml:space="preserve">v letech </w:t>
      </w:r>
      <w:r w:rsidR="00742A2A">
        <w:t>2006 – 2007 došlo k výraznému přírůstku vlivem stěhování. V roce 2006 byl přírůstek 603 obyvatel, v roce 2007 byl přírůstek</w:t>
      </w:r>
      <w:r w:rsidR="00881775">
        <w:t xml:space="preserve"> 1 424 obyvatel. </w:t>
      </w:r>
      <w:r w:rsidR="00FC6BD6">
        <w:t>Vlivem stěhování tak šlo o nejvyšší meziroční přírůstek od roku 1991;</w:t>
      </w:r>
    </w:p>
    <w:p w:rsidR="009279E3" w:rsidRDefault="009279E3" w:rsidP="00A155C7">
      <w:pPr>
        <w:pStyle w:val="Odstavecseseznamem"/>
        <w:numPr>
          <w:ilvl w:val="0"/>
          <w:numId w:val="16"/>
        </w:numPr>
      </w:pPr>
      <w:r>
        <w:t xml:space="preserve">v letech 2006 – 2010 </w:t>
      </w:r>
      <w:r w:rsidR="00C34121">
        <w:t>byl</w:t>
      </w:r>
      <w:r>
        <w:t xml:space="preserve"> poprvé od roku</w:t>
      </w:r>
      <w:r w:rsidR="00C34121">
        <w:t xml:space="preserve"> 1993 vyšší počet živě narozených než zemřelých</w:t>
      </w:r>
      <w:r w:rsidR="00921BD1">
        <w:t xml:space="preserve">. To </w:t>
      </w:r>
      <w:r w:rsidR="0090345C">
        <w:t>bylo způsobeno především rodičovstvím silných populačních ročníků narozených v 70.</w:t>
      </w:r>
      <w:r w:rsidR="003C2DCD">
        <w:t xml:space="preserve"> letech 20. stol.</w:t>
      </w:r>
    </w:p>
    <w:p w:rsidR="00946A02" w:rsidRDefault="006978AF" w:rsidP="00946A02">
      <w:r>
        <w:t xml:space="preserve">Z </w:t>
      </w:r>
      <w:r w:rsidR="00BC5376" w:rsidRPr="00BC5376">
        <w:rPr>
          <w:i/>
        </w:rPr>
        <w:t>Grafu 1 Vývoj počtu obyvatel Olomouckého kraje mezi lety 1991 – 2015</w:t>
      </w:r>
      <w:r w:rsidR="00BC5376">
        <w:t xml:space="preserve">, je patrný růst počtu obyvatel Olomouckého kraje na začátku 90. let 20. stol. V toto období byl počet živě narozených vyšší než počet zemřelých, což činilo meziroční přírůstek 0,07 – 0,10 %. </w:t>
      </w:r>
      <w:r w:rsidR="00643A52">
        <w:t>Poprvé</w:t>
      </w:r>
      <w:r w:rsidR="00BC5376">
        <w:t xml:space="preserve"> počet zemřelých překonal počet živě narozených v roce 1994 (6 808 živě narozených, 6 926 </w:t>
      </w:r>
      <w:r w:rsidR="00643A52">
        <w:t>zemřelých</w:t>
      </w:r>
      <w:r w:rsidR="00BC5376">
        <w:t>). Od té doby, s </w:t>
      </w:r>
      <w:r w:rsidR="00643A52">
        <w:t>výjimkou</w:t>
      </w:r>
      <w:r w:rsidR="00BC5376">
        <w:t xml:space="preserve"> let 2006 – 2010</w:t>
      </w:r>
      <w:r w:rsidR="0048765D">
        <w:t xml:space="preserve"> </w:t>
      </w:r>
      <w:r w:rsidR="00BC5376">
        <w:t xml:space="preserve">pokračuje </w:t>
      </w:r>
      <w:r w:rsidR="0048765D">
        <w:t xml:space="preserve">tento </w:t>
      </w:r>
      <w:r w:rsidR="00BC5376">
        <w:t>přirozený úbytek</w:t>
      </w:r>
      <w:r w:rsidR="0048765D">
        <w:t>, který mezi lety 1994 – 2005 až 0,27 % ročně, od roku 2010 maximálně 0,08%. Přírůstek počtu obyvatel vlivem stěhováním byl mezi lety 1991 – 2007, s </w:t>
      </w:r>
      <w:r w:rsidR="00643A52">
        <w:t>výjimkou</w:t>
      </w:r>
      <w:r w:rsidR="0048765D">
        <w:t xml:space="preserve"> let 1999, 2001, 2002, 2004, </w:t>
      </w:r>
      <w:r w:rsidR="00643A52">
        <w:t>pozitivní</w:t>
      </w:r>
      <w:r w:rsidR="0048765D">
        <w:t xml:space="preserve"> a dosáhl </w:t>
      </w:r>
      <w:r w:rsidR="0048765D">
        <w:lastRenderedPageBreak/>
        <w:t xml:space="preserve">maxima v roce 2007, kdy činil 0,22 %. Od roku 2008 počet obyvatel v Olomouckém kraji vlivem stěhování ubývá a pohybuje se meziročně od 0,02 % do 0,12 %. </w:t>
      </w:r>
    </w:p>
    <w:p w:rsidR="007E64EF" w:rsidRDefault="00942E4E" w:rsidP="007E64EF">
      <w:pPr>
        <w:keepNext/>
      </w:pPr>
      <w:r>
        <w:rPr>
          <w:noProof/>
          <w:lang w:eastAsia="cs-CZ"/>
        </w:rPr>
        <w:drawing>
          <wp:inline distT="0" distB="0" distL="0" distR="0" wp14:anchorId="377E006B" wp14:editId="77E2E375">
            <wp:extent cx="5760720" cy="3683897"/>
            <wp:effectExtent l="0" t="0" r="11430" b="1206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363C" w:rsidRDefault="007E64EF" w:rsidP="00D4363C">
      <w:pPr>
        <w:pStyle w:val="Tabulka"/>
        <w:rPr>
          <w:noProof/>
        </w:rPr>
      </w:pPr>
      <w:bookmarkStart w:id="5" w:name="_Toc469908860"/>
      <w:r>
        <w:t xml:space="preserve">Graf </w:t>
      </w:r>
      <w:r w:rsidR="005D1BD9">
        <w:fldChar w:fldCharType="begin"/>
      </w:r>
      <w:r w:rsidR="005D1BD9">
        <w:instrText xml:space="preserve"> SEQ Graf \* ARABI</w:instrText>
      </w:r>
      <w:r w:rsidR="005D1BD9">
        <w:instrText xml:space="preserve">C </w:instrText>
      </w:r>
      <w:r w:rsidR="005D1BD9">
        <w:fldChar w:fldCharType="separate"/>
      </w:r>
      <w:r w:rsidR="003A35BB">
        <w:rPr>
          <w:noProof/>
        </w:rPr>
        <w:t>1</w:t>
      </w:r>
      <w:r w:rsidR="005D1BD9">
        <w:rPr>
          <w:noProof/>
        </w:rPr>
        <w:fldChar w:fldCharType="end"/>
      </w:r>
      <w:r w:rsidR="00946A02">
        <w:rPr>
          <w:noProof/>
        </w:rPr>
        <w:t xml:space="preserve"> </w:t>
      </w:r>
      <w:r w:rsidR="00946A02" w:rsidRPr="00946A02">
        <w:rPr>
          <w:noProof/>
        </w:rPr>
        <w:t>Vývoj počtu obyvatel Olomouckého kraje mezi lety 1991 – 2015</w:t>
      </w:r>
      <w:bookmarkEnd w:id="5"/>
    </w:p>
    <w:p w:rsidR="005822F0" w:rsidRDefault="008B0DB6" w:rsidP="00BB606E">
      <w:pPr>
        <w:pStyle w:val="Nadpis2"/>
      </w:pPr>
      <w:bookmarkStart w:id="6" w:name="_Toc469989344"/>
      <w:r>
        <w:t>Předpokládaný</w:t>
      </w:r>
      <w:r w:rsidR="005822F0">
        <w:t xml:space="preserve"> vývoj počtu obyvatel Olomouckého kraje</w:t>
      </w:r>
      <w:bookmarkEnd w:id="6"/>
    </w:p>
    <w:p w:rsidR="000634DC" w:rsidRDefault="00ED75AF" w:rsidP="00303570">
      <w:r>
        <w:t>V rámci Aktualizace plánu rozvoje vodovodů a kanalizací Olomouckého kraje (Aktualizace PRVKOK) byl p</w:t>
      </w:r>
      <w:r w:rsidR="000634DC">
        <w:t>ředpokládaný</w:t>
      </w:r>
      <w:r w:rsidR="00643A52">
        <w:t xml:space="preserve"> vývoj počtu obyvatel stanoven</w:t>
      </w:r>
      <w:r w:rsidR="006767CB">
        <w:t xml:space="preserve"> </w:t>
      </w:r>
      <w:r w:rsidR="00952F54">
        <w:t xml:space="preserve">pro každou obecní místní část zvlášť </w:t>
      </w:r>
      <w:r w:rsidR="006767CB">
        <w:t>statistickými metodami prognózování trendu</w:t>
      </w:r>
      <w:r w:rsidR="00223390">
        <w:t xml:space="preserve"> a jednoduchými výpočtovými metodami</w:t>
      </w:r>
      <w:r w:rsidR="00177315">
        <w:t>,</w:t>
      </w:r>
      <w:r w:rsidR="00280EA7">
        <w:t xml:space="preserve"> </w:t>
      </w:r>
      <w:r w:rsidR="00177315">
        <w:t xml:space="preserve">které </w:t>
      </w:r>
      <w:r w:rsidR="00280EA7">
        <w:t>zohledň</w:t>
      </w:r>
      <w:r w:rsidR="00177315">
        <w:t>ovaly</w:t>
      </w:r>
      <w:r w:rsidR="00280EA7">
        <w:t xml:space="preserve"> his</w:t>
      </w:r>
      <w:r w:rsidR="00177315">
        <w:t>torický vývoj počtu obyvatel</w:t>
      </w:r>
      <w:r w:rsidR="006767CB">
        <w:t>.</w:t>
      </w:r>
      <w:r>
        <w:t xml:space="preserve"> </w:t>
      </w:r>
    </w:p>
    <w:p w:rsidR="000634DC" w:rsidRDefault="000E73F8" w:rsidP="00303570">
      <w:r>
        <w:t>Použité metody:</w:t>
      </w:r>
    </w:p>
    <w:p w:rsidR="00A2788A" w:rsidRDefault="006C448F" w:rsidP="00D46CCA">
      <w:pPr>
        <w:pStyle w:val="Odstavecseseznamem"/>
        <w:numPr>
          <w:ilvl w:val="0"/>
          <w:numId w:val="18"/>
        </w:numPr>
      </w:pPr>
      <w:r>
        <w:t>Lineární trend</w:t>
      </w:r>
      <w:r w:rsidR="00D46CCA">
        <w:t xml:space="preserve"> </w:t>
      </w:r>
      <w:r w:rsidR="00AD6F0C">
        <w:t>–</w:t>
      </w:r>
      <w:r w:rsidR="00D46CCA">
        <w:t xml:space="preserve"> </w:t>
      </w:r>
      <w:r w:rsidR="00AD6F0C" w:rsidRPr="00A2788A">
        <w:t>Vypočítá budoucí hodnotu na základě existujících hodnot.</w:t>
      </w:r>
      <w:r w:rsidR="00AD6F0C">
        <w:t xml:space="preserve"> Vrátí</w:t>
      </w:r>
      <w:r w:rsidR="00D46CCA" w:rsidRPr="00D46CCA">
        <w:t xml:space="preserve"> množinu hodnot </w:t>
      </w:r>
      <w:proofErr w:type="spellStart"/>
      <w:r w:rsidR="00D46CCA" w:rsidRPr="00582D62">
        <w:rPr>
          <w:i/>
        </w:rPr>
        <w:t>y</w:t>
      </w:r>
      <w:r w:rsidR="00582D62" w:rsidRPr="00582D62">
        <w:rPr>
          <w:i/>
          <w:vertAlign w:val="subscript"/>
        </w:rPr>
        <w:t>n</w:t>
      </w:r>
      <w:proofErr w:type="spellEnd"/>
      <w:r w:rsidR="00D46CCA" w:rsidRPr="00D46CCA">
        <w:t xml:space="preserve">, které na přímce odpovídají hodnotám </w:t>
      </w:r>
      <w:proofErr w:type="spellStart"/>
      <w:r w:rsidR="00D46CCA" w:rsidRPr="00582D62">
        <w:rPr>
          <w:i/>
        </w:rPr>
        <w:t>x</w:t>
      </w:r>
      <w:r w:rsidR="00582D62" w:rsidRPr="00582D62">
        <w:rPr>
          <w:i/>
          <w:vertAlign w:val="subscript"/>
        </w:rPr>
        <w:t>n</w:t>
      </w:r>
      <w:proofErr w:type="spellEnd"/>
      <w:r w:rsidR="00D46CCA" w:rsidRPr="00D46CCA">
        <w:t xml:space="preserve">, po proložení přímky množinou bodů, zadaných souřadnicemi </w:t>
      </w:r>
      <w:r w:rsidR="00D46CCA" w:rsidRPr="00582D62">
        <w:rPr>
          <w:i/>
        </w:rPr>
        <w:t>y</w:t>
      </w:r>
      <w:r w:rsidR="00D46CCA" w:rsidRPr="00D46CCA">
        <w:t xml:space="preserve"> a </w:t>
      </w:r>
      <w:r w:rsidR="00D46CCA" w:rsidRPr="00582D62">
        <w:rPr>
          <w:i/>
        </w:rPr>
        <w:t>x</w:t>
      </w:r>
      <w:r w:rsidR="00D46CCA" w:rsidRPr="00D46CCA">
        <w:t xml:space="preserve"> (metoda nejmenších čtverců).</w:t>
      </w:r>
    </w:p>
    <w:p w:rsidR="00161124" w:rsidRDefault="00161124" w:rsidP="00D46CCA">
      <w:pPr>
        <w:pStyle w:val="Odstavecseseznamem"/>
        <w:numPr>
          <w:ilvl w:val="0"/>
          <w:numId w:val="18"/>
        </w:numPr>
      </w:pPr>
      <w:r>
        <w:t>Logaritmický trend</w:t>
      </w:r>
      <w:r w:rsidR="00D46CCA">
        <w:t xml:space="preserve"> - </w:t>
      </w:r>
      <w:r w:rsidR="00D46CCA" w:rsidRPr="00D46CCA">
        <w:t xml:space="preserve">Vypočte hodnotu odhadu exponenciálního růstu na základě existujících dat. </w:t>
      </w:r>
      <w:r w:rsidR="00E96EE2">
        <w:t xml:space="preserve">Metoda </w:t>
      </w:r>
      <w:r w:rsidR="003E7E8E">
        <w:t>stanoví</w:t>
      </w:r>
      <w:r w:rsidR="00D46CCA" w:rsidRPr="00D46CCA">
        <w:t xml:space="preserve"> hodnoty </w:t>
      </w:r>
      <w:proofErr w:type="spellStart"/>
      <w:r w:rsidR="00D46CCA" w:rsidRPr="00582D62">
        <w:rPr>
          <w:i/>
        </w:rPr>
        <w:t>y</w:t>
      </w:r>
      <w:r w:rsidR="00582D62" w:rsidRPr="00582D62">
        <w:rPr>
          <w:i/>
          <w:vertAlign w:val="subscript"/>
        </w:rPr>
        <w:t>n</w:t>
      </w:r>
      <w:proofErr w:type="spellEnd"/>
      <w:r w:rsidR="00D46CCA" w:rsidRPr="00D46CCA">
        <w:t xml:space="preserve"> pro množinu hodnot </w:t>
      </w:r>
      <w:proofErr w:type="spellStart"/>
      <w:r w:rsidR="00D46CCA" w:rsidRPr="00582D62">
        <w:rPr>
          <w:i/>
        </w:rPr>
        <w:t>x</w:t>
      </w:r>
      <w:r w:rsidR="00582D62" w:rsidRPr="00582D62">
        <w:rPr>
          <w:i/>
          <w:vertAlign w:val="subscript"/>
        </w:rPr>
        <w:t>n</w:t>
      </w:r>
      <w:proofErr w:type="spellEnd"/>
      <w:r w:rsidR="00D46CCA" w:rsidRPr="00D46CCA">
        <w:t xml:space="preserve">, které </w:t>
      </w:r>
      <w:r w:rsidR="00E96EE2">
        <w:t>jsou určeny</w:t>
      </w:r>
      <w:r w:rsidR="00D46CCA" w:rsidRPr="00D46CCA">
        <w:t>, na zá</w:t>
      </w:r>
      <w:r w:rsidR="007B4E71">
        <w:t xml:space="preserve">kladě existujících hodnot </w:t>
      </w:r>
      <w:r w:rsidR="007B4E71" w:rsidRPr="00C10BB7">
        <w:rPr>
          <w:i/>
        </w:rPr>
        <w:t>x</w:t>
      </w:r>
      <w:r w:rsidR="007B4E71">
        <w:t xml:space="preserve"> a </w:t>
      </w:r>
      <w:r w:rsidR="007B4E71" w:rsidRPr="00C10BB7">
        <w:rPr>
          <w:i/>
        </w:rPr>
        <w:t>y</w:t>
      </w:r>
      <w:r w:rsidR="00D46CCA" w:rsidRPr="00D46CCA">
        <w:t>.</w:t>
      </w:r>
    </w:p>
    <w:p w:rsidR="000E73F8" w:rsidRDefault="00A2788A" w:rsidP="00A2788A">
      <w:pPr>
        <w:pStyle w:val="Odstavecseseznamem"/>
        <w:numPr>
          <w:ilvl w:val="0"/>
          <w:numId w:val="17"/>
        </w:numPr>
      </w:pPr>
      <w:r>
        <w:t xml:space="preserve">Prognóza </w:t>
      </w:r>
      <w:r w:rsidR="00B25986">
        <w:t>–</w:t>
      </w:r>
      <w:r>
        <w:t xml:space="preserve"> </w:t>
      </w:r>
      <w:r w:rsidRPr="00A2788A">
        <w:t xml:space="preserve">Vypočítá nebo odhadne budoucí hodnotu na základě existujících hodnot. Předpovídaná hodnota je hodnota </w:t>
      </w:r>
      <w:proofErr w:type="spellStart"/>
      <w:r w:rsidRPr="00C10BB7">
        <w:rPr>
          <w:i/>
        </w:rPr>
        <w:t>y</w:t>
      </w:r>
      <w:r w:rsidR="00C10BB7" w:rsidRPr="00C10BB7">
        <w:rPr>
          <w:i/>
          <w:vertAlign w:val="subscript"/>
        </w:rPr>
        <w:t>n</w:t>
      </w:r>
      <w:proofErr w:type="spellEnd"/>
      <w:r w:rsidRPr="00A2788A">
        <w:t xml:space="preserve"> pro danou hodnotu </w:t>
      </w:r>
      <w:proofErr w:type="spellStart"/>
      <w:r w:rsidRPr="00C10BB7">
        <w:rPr>
          <w:i/>
        </w:rPr>
        <w:t>x</w:t>
      </w:r>
      <w:r w:rsidR="00C10BB7" w:rsidRPr="00C10BB7">
        <w:rPr>
          <w:i/>
          <w:vertAlign w:val="subscript"/>
        </w:rPr>
        <w:t>n</w:t>
      </w:r>
      <w:proofErr w:type="spellEnd"/>
      <w:r w:rsidRPr="00A2788A">
        <w:t xml:space="preserve">. Známé hodnoty jsou hodnoty </w:t>
      </w:r>
      <w:r w:rsidRPr="00C10BB7">
        <w:rPr>
          <w:i/>
        </w:rPr>
        <w:t>x</w:t>
      </w:r>
      <w:r w:rsidRPr="00A2788A">
        <w:t xml:space="preserve"> a </w:t>
      </w:r>
      <w:r w:rsidRPr="00C10BB7">
        <w:rPr>
          <w:i/>
        </w:rPr>
        <w:t>y</w:t>
      </w:r>
      <w:r w:rsidRPr="00A2788A">
        <w:t>. Nová hodnota je předpovídaná na základě lineární regrese.</w:t>
      </w:r>
    </w:p>
    <w:p w:rsidR="00F84322" w:rsidRDefault="00F84322" w:rsidP="00A2788A">
      <w:pPr>
        <w:pStyle w:val="Odstavecseseznamem"/>
        <w:numPr>
          <w:ilvl w:val="0"/>
          <w:numId w:val="17"/>
        </w:numPr>
      </w:pPr>
      <w:r>
        <w:t xml:space="preserve">Trojčlenka – </w:t>
      </w:r>
      <w:r w:rsidR="00735615">
        <w:t xml:space="preserve">Výpočet přímé úměry na základě </w:t>
      </w:r>
      <w:r w:rsidR="00834195">
        <w:t xml:space="preserve">průměrného </w:t>
      </w:r>
      <w:r w:rsidR="00735615">
        <w:t>ročního přírůstku</w:t>
      </w:r>
      <w:r w:rsidR="00834195">
        <w:t xml:space="preserve"> za</w:t>
      </w:r>
      <w:r w:rsidR="00801C60">
        <w:t xml:space="preserve"> celé</w:t>
      </w:r>
      <w:r w:rsidR="00834195">
        <w:t xml:space="preserve"> </w:t>
      </w:r>
      <w:r w:rsidR="00801C60">
        <w:t>historické</w:t>
      </w:r>
      <w:r w:rsidR="00834195">
        <w:t xml:space="preserve"> období</w:t>
      </w:r>
      <w:r w:rsidR="00735615">
        <w:t>.</w:t>
      </w:r>
    </w:p>
    <w:p w:rsidR="00F84322" w:rsidRDefault="00F84322" w:rsidP="00A2788A">
      <w:pPr>
        <w:pStyle w:val="Odstavecseseznamem"/>
        <w:numPr>
          <w:ilvl w:val="0"/>
          <w:numId w:val="17"/>
        </w:numPr>
      </w:pPr>
      <w:r>
        <w:t>Rozdíl – Výpočet</w:t>
      </w:r>
      <w:r w:rsidR="008D592C">
        <w:t xml:space="preserve"> přímé úměry na základě přírůstku </w:t>
      </w:r>
      <w:r w:rsidR="00223390">
        <w:t xml:space="preserve">mezi </w:t>
      </w:r>
      <w:r w:rsidR="00B9527A">
        <w:t>dvěma</w:t>
      </w:r>
      <w:r w:rsidR="00A81D63">
        <w:t xml:space="preserve"> stanovenými období</w:t>
      </w:r>
      <w:r w:rsidR="008D592C">
        <w:t>.</w:t>
      </w:r>
    </w:p>
    <w:p w:rsidR="00292023" w:rsidRDefault="00670657" w:rsidP="00EB0AF2">
      <w:r>
        <w:t xml:space="preserve">Vstupní hodnoty pro všechny metody </w:t>
      </w:r>
      <w:r w:rsidR="006F6D0B">
        <w:t>byla</w:t>
      </w:r>
      <w:r>
        <w:t xml:space="preserve"> data o vývoji obyvatel</w:t>
      </w:r>
      <w:r w:rsidR="00BE7610">
        <w:t xml:space="preserve"> (</w:t>
      </w:r>
      <w:r w:rsidR="006F6D0B" w:rsidRPr="006F6D0B">
        <w:rPr>
          <w:i/>
        </w:rPr>
        <w:t>y</w:t>
      </w:r>
      <w:r w:rsidR="00BE7610">
        <w:t>)</w:t>
      </w:r>
      <w:r>
        <w:t xml:space="preserve"> pro jednotlivé roky mezi lety</w:t>
      </w:r>
      <w:r w:rsidR="00BE7610">
        <w:t xml:space="preserve"> (</w:t>
      </w:r>
      <w:r w:rsidR="006F6D0B" w:rsidRPr="006F6D0B">
        <w:rPr>
          <w:i/>
        </w:rPr>
        <w:t>x</w:t>
      </w:r>
      <w:r w:rsidR="00BE7610">
        <w:t>)</w:t>
      </w:r>
      <w:r>
        <w:t xml:space="preserve"> 1991 – 2015. Nové hodnoty</w:t>
      </w:r>
      <w:r w:rsidR="006F6D0B">
        <w:t xml:space="preserve"> (</w:t>
      </w:r>
      <w:proofErr w:type="spellStart"/>
      <w:r w:rsidR="006F6D0B" w:rsidRPr="006F6D0B">
        <w:rPr>
          <w:i/>
        </w:rPr>
        <w:t>y</w:t>
      </w:r>
      <w:r w:rsidR="006F6D0B" w:rsidRPr="006F6D0B">
        <w:rPr>
          <w:i/>
          <w:vertAlign w:val="subscript"/>
        </w:rPr>
        <w:t>n</w:t>
      </w:r>
      <w:proofErr w:type="spellEnd"/>
      <w:r w:rsidR="006F6D0B">
        <w:t>)</w:t>
      </w:r>
      <w:r>
        <w:t xml:space="preserve"> </w:t>
      </w:r>
      <w:r w:rsidR="006F6D0B">
        <w:t>byly</w:t>
      </w:r>
      <w:r>
        <w:t xml:space="preserve"> vypočítány pro roky</w:t>
      </w:r>
      <w:r w:rsidR="006F6D0B">
        <w:t xml:space="preserve"> (</w:t>
      </w:r>
      <w:proofErr w:type="spellStart"/>
      <w:r w:rsidR="006F6D0B" w:rsidRPr="006F6D0B">
        <w:rPr>
          <w:i/>
        </w:rPr>
        <w:t>x</w:t>
      </w:r>
      <w:r w:rsidR="006F6D0B" w:rsidRPr="006F6D0B">
        <w:rPr>
          <w:i/>
          <w:vertAlign w:val="subscript"/>
        </w:rPr>
        <w:t>n</w:t>
      </w:r>
      <w:proofErr w:type="spellEnd"/>
      <w:r w:rsidR="006F6D0B">
        <w:t>)</w:t>
      </w:r>
      <w:r>
        <w:t xml:space="preserve"> 2020, 2025, 2030 a 2050.</w:t>
      </w:r>
    </w:p>
    <w:p w:rsidR="006C448F" w:rsidRDefault="008A269E" w:rsidP="006C448F">
      <w:r>
        <w:t xml:space="preserve">Pro každou místní část </w:t>
      </w:r>
      <w:r w:rsidR="006A4857">
        <w:t>byl</w:t>
      </w:r>
      <w:r w:rsidR="00C1700D">
        <w:t>o</w:t>
      </w:r>
      <w:r w:rsidR="006A4857">
        <w:t xml:space="preserve"> proveden</w:t>
      </w:r>
      <w:r w:rsidR="00C1700D">
        <w:t>o stanovení vývoje počtu obyvatel</w:t>
      </w:r>
      <w:r w:rsidR="006A4857">
        <w:t xml:space="preserve"> vše</w:t>
      </w:r>
      <w:r w:rsidR="00C1700D">
        <w:t>mi</w:t>
      </w:r>
      <w:r w:rsidR="006A4857">
        <w:t xml:space="preserve"> prognostick</w:t>
      </w:r>
      <w:r w:rsidR="00C1700D">
        <w:t>ými</w:t>
      </w:r>
      <w:r w:rsidR="006A4857">
        <w:t xml:space="preserve"> </w:t>
      </w:r>
      <w:r w:rsidR="00F21BBF">
        <w:t>metodami</w:t>
      </w:r>
      <w:r w:rsidR="00C1700D">
        <w:t xml:space="preserve">. Všechny metody byly navzájem porovnány. </w:t>
      </w:r>
      <w:r w:rsidR="006A4857">
        <w:t xml:space="preserve">Při porovnání byly brány v úvahu </w:t>
      </w:r>
      <w:r w:rsidR="00B02621">
        <w:t xml:space="preserve">předpokládané vývoje počtu obyvatel v </w:t>
      </w:r>
      <w:r w:rsidR="006A4857">
        <w:t>aktuální</w:t>
      </w:r>
      <w:r w:rsidR="00B02621">
        <w:t>ch</w:t>
      </w:r>
      <w:r w:rsidR="006A4857">
        <w:t xml:space="preserve"> územní</w:t>
      </w:r>
      <w:r w:rsidR="00B02621">
        <w:t>ch</w:t>
      </w:r>
      <w:r w:rsidR="006A4857">
        <w:t xml:space="preserve"> plán</w:t>
      </w:r>
      <w:r w:rsidR="00B02621">
        <w:t>ech</w:t>
      </w:r>
      <w:r w:rsidR="006A4857">
        <w:t xml:space="preserve"> obcí. </w:t>
      </w:r>
      <w:r w:rsidR="00620A45">
        <w:t>Po individuálním posouzení byl vybrán nejvhodnější předpokládaný vývoj počtu obyvatel.</w:t>
      </w:r>
    </w:p>
    <w:p w:rsidR="007B116D" w:rsidRDefault="007B116D" w:rsidP="006C448F">
      <w:r>
        <w:t xml:space="preserve">Následný předpokládaný vývoj počtu obyvatel větších územních celků </w:t>
      </w:r>
      <w:r w:rsidR="001604CE">
        <w:t>–</w:t>
      </w:r>
      <w:r>
        <w:t xml:space="preserve"> </w:t>
      </w:r>
      <w:r w:rsidR="001604CE">
        <w:t xml:space="preserve">obcí, správních obvodů obcí s rozšířenou působností a kraje – byl stanoven ze sumy </w:t>
      </w:r>
      <w:r w:rsidR="00B02621">
        <w:t>místních částí.</w:t>
      </w:r>
    </w:p>
    <w:p w:rsidR="0039647D" w:rsidRPr="0040577F" w:rsidRDefault="0039647D" w:rsidP="0039647D">
      <w:r>
        <w:lastRenderedPageBreak/>
        <w:t>Počet obyvatel obcí včetně místních částí je uveden v </w:t>
      </w:r>
      <w:r w:rsidRPr="0040577F">
        <w:rPr>
          <w:i/>
        </w:rPr>
        <w:t>Příloze č. 1</w:t>
      </w:r>
      <w:r>
        <w:t xml:space="preserve"> </w:t>
      </w:r>
      <w:r w:rsidRPr="0040577F">
        <w:rPr>
          <w:i/>
        </w:rPr>
        <w:t>Souhrnná tabulka vývoje a předpokládaného vývoje počtu obyvatel obcí Olomouckého kraje a jejich místních částí</w:t>
      </w:r>
      <w:r>
        <w:t>. Tabulka uvádí dosavadní vývoj počtu obyvatel v letech 1991, 2001, 2011 a 2015 a dále předpokládaný vývoj v letech 2020, 2025, 2030 a 2050.</w:t>
      </w:r>
      <w:r w:rsidR="00BF6248">
        <w:t xml:space="preserve"> Grafické zobrazení vývoje </w:t>
      </w:r>
      <w:r w:rsidR="00FE0566">
        <w:t xml:space="preserve">a předpokládaného vývoje </w:t>
      </w:r>
      <w:r w:rsidR="00BF6248">
        <w:t xml:space="preserve">počtu obyvatel </w:t>
      </w:r>
      <w:r w:rsidR="00FE0566">
        <w:t xml:space="preserve">v obcích </w:t>
      </w:r>
      <w:r w:rsidR="00BF6248">
        <w:t>na mapě Olomouckého kraje je zobrazeno v </w:t>
      </w:r>
      <w:r w:rsidR="00BF6248" w:rsidRPr="00BF6248">
        <w:rPr>
          <w:i/>
        </w:rPr>
        <w:t>Přílo</w:t>
      </w:r>
      <w:r w:rsidR="007E7044">
        <w:rPr>
          <w:i/>
        </w:rPr>
        <w:t>ze</w:t>
      </w:r>
      <w:r w:rsidR="00BF6248" w:rsidRPr="00BF6248">
        <w:rPr>
          <w:i/>
        </w:rPr>
        <w:t xml:space="preserve"> </w:t>
      </w:r>
      <w:proofErr w:type="gramStart"/>
      <w:r w:rsidR="00BF6248" w:rsidRPr="00BF6248">
        <w:rPr>
          <w:i/>
        </w:rPr>
        <w:t>č.</w:t>
      </w:r>
      <w:r w:rsidR="00BF6248" w:rsidRPr="007E7044">
        <w:rPr>
          <w:i/>
        </w:rPr>
        <w:t xml:space="preserve"> 2 Mapa</w:t>
      </w:r>
      <w:proofErr w:type="gramEnd"/>
      <w:r w:rsidR="00BF6248" w:rsidRPr="007E7044">
        <w:rPr>
          <w:i/>
        </w:rPr>
        <w:t xml:space="preserve"> vývoje počtu obyvatel Olomouckého kraje mezi lety 2010 – 2015</w:t>
      </w:r>
      <w:r w:rsidR="007E7044">
        <w:rPr>
          <w:i/>
        </w:rPr>
        <w:t xml:space="preserve"> </w:t>
      </w:r>
      <w:r w:rsidR="00BF6248" w:rsidRPr="00BF6248">
        <w:t>a</w:t>
      </w:r>
      <w:r w:rsidR="00BF6248" w:rsidRPr="00BF6248">
        <w:rPr>
          <w:i/>
        </w:rPr>
        <w:t xml:space="preserve"> </w:t>
      </w:r>
      <w:r w:rsidR="007E7044" w:rsidRPr="007E7044">
        <w:t>v</w:t>
      </w:r>
      <w:r w:rsidR="007E7044">
        <w:rPr>
          <w:i/>
        </w:rPr>
        <w:t> Příloze č. 3</w:t>
      </w:r>
      <w:r w:rsidR="00BF6248">
        <w:t xml:space="preserve"> </w:t>
      </w:r>
      <w:r w:rsidR="007E7044" w:rsidRPr="007E7044">
        <w:rPr>
          <w:i/>
        </w:rPr>
        <w:t>Mapa předpokládaného vývoje počtu obyvatel Olomouckého kraje mezi lety 2015 – 2030</w:t>
      </w:r>
      <w:r w:rsidR="007E7044">
        <w:rPr>
          <w:i/>
        </w:rPr>
        <w:t>.</w:t>
      </w:r>
    </w:p>
    <w:p w:rsidR="007E64EF" w:rsidRDefault="00DB61F6" w:rsidP="007E64EF">
      <w:pPr>
        <w:keepNext/>
        <w:jc w:val="center"/>
      </w:pPr>
      <w:r>
        <w:rPr>
          <w:noProof/>
          <w:lang w:eastAsia="cs-CZ"/>
        </w:rPr>
        <w:drawing>
          <wp:inline distT="0" distB="0" distL="0" distR="0" wp14:anchorId="75F4D5FB" wp14:editId="62654BCF">
            <wp:extent cx="5760720" cy="3473213"/>
            <wp:effectExtent l="0" t="0" r="11430" b="133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363C" w:rsidRDefault="007E64EF" w:rsidP="00D4363C">
      <w:pPr>
        <w:pStyle w:val="Tabulka"/>
        <w:rPr>
          <w:noProof/>
        </w:rPr>
      </w:pPr>
      <w:bookmarkStart w:id="7" w:name="_Toc469908861"/>
      <w:r>
        <w:t xml:space="preserve">Graf </w:t>
      </w:r>
      <w:r w:rsidR="005D1BD9">
        <w:fldChar w:fldCharType="begin"/>
      </w:r>
      <w:r w:rsidR="005D1BD9">
        <w:instrText xml:space="preserve"> SEQ Graf \* ARABIC </w:instrText>
      </w:r>
      <w:r w:rsidR="005D1BD9">
        <w:fldChar w:fldCharType="separate"/>
      </w:r>
      <w:r w:rsidR="003A35BB">
        <w:rPr>
          <w:noProof/>
        </w:rPr>
        <w:t>2</w:t>
      </w:r>
      <w:r w:rsidR="005D1BD9">
        <w:rPr>
          <w:noProof/>
        </w:rPr>
        <w:fldChar w:fldCharType="end"/>
      </w:r>
      <w:r w:rsidR="0074624D">
        <w:rPr>
          <w:noProof/>
        </w:rPr>
        <w:t xml:space="preserve"> Předpokládaný vývoj počtu obyvatel Olomouckého kraje v letech 2020 – 2050</w:t>
      </w:r>
      <w:bookmarkEnd w:id="7"/>
      <w:r w:rsidR="0074624D">
        <w:rPr>
          <w:noProof/>
        </w:rPr>
        <w:t xml:space="preserve"> </w:t>
      </w:r>
    </w:p>
    <w:p w:rsidR="00924157" w:rsidRDefault="00924157" w:rsidP="00924157">
      <w:r>
        <w:t xml:space="preserve">Vývoj počtu obyvatel Olomouckého kraje předpokládá s pokračujícím trendem úbytku obyvatel, jak je uvedeno v </w:t>
      </w:r>
      <w:r w:rsidRPr="000C593B">
        <w:rPr>
          <w:i/>
        </w:rPr>
        <w:t>Grafu 2 Předpokládaný vývoj počtu obyvatel Olomouckého kraje v letech 2020 – 2050</w:t>
      </w:r>
      <w:r>
        <w:t xml:space="preserve"> a </w:t>
      </w:r>
      <w:r w:rsidRPr="000C593B">
        <w:rPr>
          <w:i/>
        </w:rPr>
        <w:t>Tab. 4 Předpokládaný vývoj počtu obyvatel Olomouckého kraje do roku 2050</w:t>
      </w:r>
      <w:r>
        <w:t xml:space="preserve">. </w:t>
      </w:r>
    </w:p>
    <w:tbl>
      <w:tblPr>
        <w:tblStyle w:val="Mkatabulky"/>
        <w:tblW w:w="5000" w:type="pct"/>
        <w:tblLook w:val="04A0" w:firstRow="1" w:lastRow="0" w:firstColumn="1" w:lastColumn="0" w:noHBand="0" w:noVBand="1"/>
      </w:tblPr>
      <w:tblGrid>
        <w:gridCol w:w="1857"/>
        <w:gridCol w:w="1857"/>
        <w:gridCol w:w="1858"/>
        <w:gridCol w:w="1858"/>
        <w:gridCol w:w="1858"/>
      </w:tblGrid>
      <w:tr w:rsidR="0048765D" w:rsidTr="003D39CF">
        <w:tc>
          <w:tcPr>
            <w:tcW w:w="1000" w:type="pct"/>
            <w:tcBorders>
              <w:top w:val="double" w:sz="4" w:space="0" w:color="auto"/>
              <w:left w:val="double" w:sz="4" w:space="0" w:color="auto"/>
            </w:tcBorders>
            <w:shd w:val="clear" w:color="auto" w:fill="BCD9DE" w:themeFill="accent5" w:themeFillTint="66"/>
            <w:vAlign w:val="center"/>
          </w:tcPr>
          <w:p w:rsidR="0048765D" w:rsidRDefault="0048765D" w:rsidP="003D39CF">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48765D" w:rsidRPr="0047799D" w:rsidRDefault="0048765D" w:rsidP="003D39CF">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48765D" w:rsidRPr="0047799D" w:rsidRDefault="0048765D" w:rsidP="003D39CF">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48765D" w:rsidRPr="0047799D" w:rsidRDefault="0048765D" w:rsidP="003D39CF">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48765D" w:rsidRPr="0047799D" w:rsidRDefault="0048765D" w:rsidP="003D39CF">
            <w:pPr>
              <w:jc w:val="center"/>
              <w:rPr>
                <w:b/>
                <w:sz w:val="18"/>
              </w:rPr>
            </w:pPr>
            <w:r w:rsidRPr="0047799D">
              <w:rPr>
                <w:b/>
                <w:sz w:val="18"/>
              </w:rPr>
              <w:t>2050</w:t>
            </w:r>
          </w:p>
        </w:tc>
      </w:tr>
      <w:tr w:rsidR="008A6B2F" w:rsidTr="008A6B2F">
        <w:tc>
          <w:tcPr>
            <w:tcW w:w="1000" w:type="pct"/>
            <w:tcBorders>
              <w:left w:val="double" w:sz="4" w:space="0" w:color="auto"/>
              <w:bottom w:val="double" w:sz="4" w:space="0" w:color="auto"/>
            </w:tcBorders>
            <w:shd w:val="clear" w:color="auto" w:fill="BCD9DE" w:themeFill="accent5" w:themeFillTint="66"/>
            <w:vAlign w:val="center"/>
          </w:tcPr>
          <w:p w:rsidR="008A6B2F" w:rsidRPr="004E092F" w:rsidRDefault="008A6B2F" w:rsidP="003D39CF">
            <w:pPr>
              <w:pStyle w:val="Bezmezer"/>
              <w:jc w:val="center"/>
              <w:rPr>
                <w:b/>
                <w:sz w:val="18"/>
              </w:rPr>
            </w:pPr>
            <w:r w:rsidRPr="004E092F">
              <w:rPr>
                <w:b/>
                <w:sz w:val="18"/>
              </w:rPr>
              <w:t>POČET OBYVATEL</w:t>
            </w:r>
          </w:p>
        </w:tc>
        <w:tc>
          <w:tcPr>
            <w:tcW w:w="1000" w:type="pct"/>
            <w:tcBorders>
              <w:bottom w:val="double" w:sz="4" w:space="0" w:color="auto"/>
            </w:tcBorders>
          </w:tcPr>
          <w:p w:rsidR="008A6B2F" w:rsidRPr="008A6B2F" w:rsidRDefault="008A6B2F" w:rsidP="008A6B2F">
            <w:pPr>
              <w:jc w:val="center"/>
              <w:rPr>
                <w:sz w:val="18"/>
              </w:rPr>
            </w:pPr>
            <w:r w:rsidRPr="008A6B2F">
              <w:rPr>
                <w:sz w:val="18"/>
              </w:rPr>
              <w:t>629</w:t>
            </w:r>
            <w:r>
              <w:rPr>
                <w:sz w:val="18"/>
              </w:rPr>
              <w:t xml:space="preserve"> </w:t>
            </w:r>
            <w:r w:rsidRPr="008A6B2F">
              <w:rPr>
                <w:sz w:val="18"/>
              </w:rPr>
              <w:t>020</w:t>
            </w:r>
          </w:p>
        </w:tc>
        <w:tc>
          <w:tcPr>
            <w:tcW w:w="1000" w:type="pct"/>
            <w:tcBorders>
              <w:bottom w:val="double" w:sz="4" w:space="0" w:color="auto"/>
            </w:tcBorders>
          </w:tcPr>
          <w:p w:rsidR="008A6B2F" w:rsidRPr="008A6B2F" w:rsidRDefault="008A6B2F" w:rsidP="008A6B2F">
            <w:pPr>
              <w:jc w:val="center"/>
              <w:rPr>
                <w:sz w:val="18"/>
              </w:rPr>
            </w:pPr>
            <w:r w:rsidRPr="008A6B2F">
              <w:rPr>
                <w:sz w:val="18"/>
              </w:rPr>
              <w:t>624</w:t>
            </w:r>
            <w:r>
              <w:rPr>
                <w:sz w:val="18"/>
              </w:rPr>
              <w:t xml:space="preserve"> </w:t>
            </w:r>
            <w:r w:rsidRPr="008A6B2F">
              <w:rPr>
                <w:sz w:val="18"/>
              </w:rPr>
              <w:t>915</w:t>
            </w:r>
          </w:p>
        </w:tc>
        <w:tc>
          <w:tcPr>
            <w:tcW w:w="1000" w:type="pct"/>
            <w:tcBorders>
              <w:bottom w:val="double" w:sz="4" w:space="0" w:color="auto"/>
            </w:tcBorders>
          </w:tcPr>
          <w:p w:rsidR="008A6B2F" w:rsidRPr="008A6B2F" w:rsidRDefault="008A6B2F" w:rsidP="008A6B2F">
            <w:pPr>
              <w:jc w:val="center"/>
              <w:rPr>
                <w:sz w:val="18"/>
              </w:rPr>
            </w:pPr>
            <w:r w:rsidRPr="008A6B2F">
              <w:rPr>
                <w:sz w:val="18"/>
              </w:rPr>
              <w:t>620</w:t>
            </w:r>
            <w:r>
              <w:rPr>
                <w:sz w:val="18"/>
              </w:rPr>
              <w:t xml:space="preserve"> </w:t>
            </w:r>
            <w:r w:rsidRPr="008A6B2F">
              <w:rPr>
                <w:sz w:val="18"/>
              </w:rPr>
              <w:t>990</w:t>
            </w:r>
          </w:p>
        </w:tc>
        <w:tc>
          <w:tcPr>
            <w:tcW w:w="1000" w:type="pct"/>
            <w:tcBorders>
              <w:bottom w:val="double" w:sz="4" w:space="0" w:color="auto"/>
              <w:right w:val="double" w:sz="4" w:space="0" w:color="auto"/>
            </w:tcBorders>
          </w:tcPr>
          <w:p w:rsidR="008A6B2F" w:rsidRPr="008A6B2F" w:rsidRDefault="008A6B2F" w:rsidP="008A6B2F">
            <w:pPr>
              <w:jc w:val="center"/>
              <w:rPr>
                <w:sz w:val="18"/>
              </w:rPr>
            </w:pPr>
            <w:r w:rsidRPr="008A6B2F">
              <w:rPr>
                <w:sz w:val="18"/>
              </w:rPr>
              <w:t>611</w:t>
            </w:r>
            <w:r>
              <w:rPr>
                <w:sz w:val="18"/>
              </w:rPr>
              <w:t xml:space="preserve"> </w:t>
            </w:r>
            <w:r w:rsidRPr="008A6B2F">
              <w:rPr>
                <w:sz w:val="18"/>
              </w:rPr>
              <w:t>248</w:t>
            </w:r>
          </w:p>
        </w:tc>
      </w:tr>
    </w:tbl>
    <w:p w:rsidR="0048765D" w:rsidRDefault="0048765D" w:rsidP="0048765D">
      <w:pPr>
        <w:pStyle w:val="Tabulka"/>
        <w:rPr>
          <w:noProof/>
        </w:rPr>
      </w:pPr>
      <w:bookmarkStart w:id="8" w:name="_Toc469908878"/>
      <w:r>
        <w:t xml:space="preserve">Tab. </w:t>
      </w:r>
      <w:r w:rsidR="005D1BD9">
        <w:fldChar w:fldCharType="begin"/>
      </w:r>
      <w:r w:rsidR="005D1BD9">
        <w:instrText xml:space="preserve"> SEQ Tab. \* ARABIC </w:instrText>
      </w:r>
      <w:r w:rsidR="005D1BD9">
        <w:fldChar w:fldCharType="separate"/>
      </w:r>
      <w:r w:rsidR="003A35BB">
        <w:rPr>
          <w:noProof/>
        </w:rPr>
        <w:t>4</w:t>
      </w:r>
      <w:r w:rsidR="005D1BD9">
        <w:rPr>
          <w:noProof/>
        </w:rPr>
        <w:fldChar w:fldCharType="end"/>
      </w:r>
      <w:r>
        <w:rPr>
          <w:noProof/>
        </w:rPr>
        <w:t xml:space="preserve"> Předpokládaný vývoj počtu obyvatel Olomouckého kraje do roku 2050</w:t>
      </w:r>
      <w:bookmarkEnd w:id="8"/>
    </w:p>
    <w:p w:rsidR="00D4363C" w:rsidRDefault="00D4363C" w:rsidP="0048765D">
      <w:pPr>
        <w:rPr>
          <w:noProof/>
        </w:rPr>
      </w:pPr>
      <w:r>
        <w:rPr>
          <w:noProof/>
        </w:rPr>
        <w:br w:type="page"/>
      </w:r>
    </w:p>
    <w:p w:rsidR="00914D82" w:rsidRPr="00D20A0E" w:rsidRDefault="00335225" w:rsidP="006A1FD8">
      <w:pPr>
        <w:pStyle w:val="Nadpis1"/>
      </w:pPr>
      <w:bookmarkStart w:id="9" w:name="_Toc469989345"/>
      <w:r>
        <w:lastRenderedPageBreak/>
        <w:t>Vývoj počtu obyvatel podle</w:t>
      </w:r>
      <w:r w:rsidR="00914D82">
        <w:t xml:space="preserve"> </w:t>
      </w:r>
      <w:r w:rsidR="00643A52">
        <w:t>správních</w:t>
      </w:r>
      <w:r w:rsidR="005069C2">
        <w:t xml:space="preserve"> obvodů obcí s rozšířenou působností</w:t>
      </w:r>
      <w:bookmarkEnd w:id="9"/>
    </w:p>
    <w:p w:rsidR="005212D3" w:rsidRDefault="005212D3" w:rsidP="005212D3">
      <w:r>
        <w:t xml:space="preserve">Olomoucký kraj </w:t>
      </w:r>
      <w:r w:rsidR="000A7CDB">
        <w:t>se skládá z pěti okresů a třináctí správních obvodů obcí s rozšířenou působností</w:t>
      </w:r>
      <w:r w:rsidR="00881E30">
        <w:t xml:space="preserve"> (SO ORP)</w:t>
      </w:r>
      <w:r w:rsidR="000A7CDB">
        <w:t xml:space="preserve">. </w:t>
      </w:r>
      <w:r w:rsidR="00881E30">
        <w:t xml:space="preserve">Centrem kraje je okres Olomouc, který zahrnuje SO ORP </w:t>
      </w:r>
      <w:r w:rsidR="0082241B">
        <w:t xml:space="preserve">Olomouc, Litovel, Šternberk a Uničov. </w:t>
      </w:r>
      <w:r w:rsidR="00706471">
        <w:t>Jihovýchodně</w:t>
      </w:r>
      <w:r w:rsidR="00676E83">
        <w:t xml:space="preserve"> leží okres Přerov zahrnující SO ORP Přerov, Lipník nad Bečvou a Hranice. </w:t>
      </w:r>
      <w:r w:rsidR="00230498">
        <w:t xml:space="preserve">Na jihozápadě se nachází okres </w:t>
      </w:r>
      <w:r w:rsidR="00EA7990">
        <w:t>Prostějov, v němž</w:t>
      </w:r>
      <w:r w:rsidR="00230498">
        <w:t xml:space="preserve"> </w:t>
      </w:r>
      <w:r w:rsidR="00EA7990">
        <w:t>se nachází</w:t>
      </w:r>
      <w:r w:rsidR="00230498">
        <w:t xml:space="preserve"> SO ORP Prostějov a Konice. </w:t>
      </w:r>
      <w:r w:rsidR="00EA7990">
        <w:t>Severně od okresu Olomouc, pomyslného centra kraje, leží okres Šumperk s SO ORP Šumperk Zábřeh a Mohelnice. Nejseverněji se nachází okres Jeseník, který tvoří i stejnojmenný SO ORP.</w:t>
      </w:r>
    </w:p>
    <w:p w:rsidR="00EA7990" w:rsidRDefault="00EA7990" w:rsidP="005212D3">
      <w:r>
        <w:t>Nejlidnatějším SO ORP</w:t>
      </w:r>
      <w:r w:rsidR="00912C3B">
        <w:t xml:space="preserve"> je Olomouc</w:t>
      </w:r>
      <w:r w:rsidR="00881D03">
        <w:t xml:space="preserve"> s počtem 163</w:t>
      </w:r>
      <w:r w:rsidR="00042843">
        <w:t xml:space="preserve"> 157 obyvatel k 31. 12. 2015, což </w:t>
      </w:r>
      <w:r w:rsidR="001062E2">
        <w:t xml:space="preserve">je </w:t>
      </w:r>
      <w:r w:rsidR="002144C8">
        <w:t>25,7</w:t>
      </w:r>
      <w:r w:rsidR="001062E2">
        <w:t xml:space="preserve"> % obyvatel Olomouckého kraje. Následují SO ORP Prostějov</w:t>
      </w:r>
      <w:r w:rsidR="00F27659">
        <w:t xml:space="preserve"> (97 969 obyvatel, </w:t>
      </w:r>
      <w:r w:rsidR="002144C8">
        <w:t>15</w:t>
      </w:r>
      <w:r w:rsidR="00F27659">
        <w:t>,</w:t>
      </w:r>
      <w:r w:rsidR="002144C8">
        <w:t>4</w:t>
      </w:r>
      <w:r w:rsidR="00F27659">
        <w:t xml:space="preserve"> % z </w:t>
      </w:r>
      <w:r w:rsidR="002A78E2">
        <w:t>celokovového</w:t>
      </w:r>
      <w:r w:rsidR="00F27659">
        <w:t xml:space="preserve"> počtu obyvatel v kraji), SO ORP </w:t>
      </w:r>
      <w:r w:rsidR="002A78E2">
        <w:t xml:space="preserve">Přerov (81 500, </w:t>
      </w:r>
      <w:r w:rsidR="002144C8">
        <w:t>12</w:t>
      </w:r>
      <w:r w:rsidR="002A78E2">
        <w:t>,</w:t>
      </w:r>
      <w:r w:rsidR="002144C8">
        <w:t>8</w:t>
      </w:r>
      <w:r w:rsidR="002A78E2">
        <w:t xml:space="preserve"> %), SO ORP Šumperk (69 940, </w:t>
      </w:r>
      <w:r w:rsidR="000418D8">
        <w:t>11</w:t>
      </w:r>
      <w:r w:rsidR="002A78E2">
        <w:t>,</w:t>
      </w:r>
      <w:r w:rsidR="000418D8">
        <w:t>0</w:t>
      </w:r>
      <w:r w:rsidR="002A78E2">
        <w:t xml:space="preserve"> %), </w:t>
      </w:r>
      <w:r w:rsidR="005632CE">
        <w:t>SO ORP Jeseník (39 261, 6,2 %), SO ORP Hranice (34</w:t>
      </w:r>
      <w:r w:rsidR="00C45280">
        <w:t xml:space="preserve"> </w:t>
      </w:r>
      <w:r w:rsidR="005632CE">
        <w:t xml:space="preserve">442, </w:t>
      </w:r>
      <w:r w:rsidR="000418D8">
        <w:t>5</w:t>
      </w:r>
      <w:r w:rsidR="005632CE">
        <w:t>,</w:t>
      </w:r>
      <w:r w:rsidR="000418D8">
        <w:t>4</w:t>
      </w:r>
      <w:r w:rsidR="005632CE">
        <w:t xml:space="preserve"> %), SO ORP Zábřeh (</w:t>
      </w:r>
      <w:r w:rsidR="000418D8">
        <w:t>33 452, 5</w:t>
      </w:r>
      <w:r w:rsidR="00C95FF9">
        <w:t>,</w:t>
      </w:r>
      <w:r w:rsidR="000418D8">
        <w:t>3 %</w:t>
      </w:r>
      <w:r w:rsidR="005632CE">
        <w:t>)</w:t>
      </w:r>
      <w:r w:rsidR="000418D8">
        <w:t xml:space="preserve">, </w:t>
      </w:r>
      <w:r w:rsidR="007A2CAC">
        <w:t xml:space="preserve">SO ORP </w:t>
      </w:r>
      <w:r w:rsidR="000418D8">
        <w:t>Šternberk</w:t>
      </w:r>
      <w:r w:rsidR="00B5550F">
        <w:t xml:space="preserve"> (24 191, 3,8 %)</w:t>
      </w:r>
      <w:r w:rsidR="000418D8">
        <w:t xml:space="preserve">, </w:t>
      </w:r>
      <w:r w:rsidR="007A2CAC">
        <w:t xml:space="preserve">SO ORP </w:t>
      </w:r>
      <w:r w:rsidR="000418D8">
        <w:t>Litovel</w:t>
      </w:r>
      <w:r w:rsidR="007A2CAC">
        <w:t xml:space="preserve"> (</w:t>
      </w:r>
      <w:r w:rsidR="002D58A4">
        <w:t>23 771, 3,7 %</w:t>
      </w:r>
      <w:r w:rsidR="007A2CAC">
        <w:t>)</w:t>
      </w:r>
      <w:r w:rsidR="000418D8">
        <w:t xml:space="preserve">, </w:t>
      </w:r>
      <w:r w:rsidR="007A2CAC">
        <w:t xml:space="preserve">SO ORP </w:t>
      </w:r>
      <w:r w:rsidR="000418D8">
        <w:t>Uničov</w:t>
      </w:r>
      <w:r w:rsidR="007A2CAC">
        <w:t xml:space="preserve"> (</w:t>
      </w:r>
      <w:r w:rsidR="002D58A4">
        <w:t>22 532, 3,5 %</w:t>
      </w:r>
      <w:r w:rsidR="007A2CAC">
        <w:t>)</w:t>
      </w:r>
      <w:r w:rsidR="000418D8">
        <w:t xml:space="preserve">, </w:t>
      </w:r>
      <w:r w:rsidR="007A2CAC">
        <w:t>SO ORP Mohelnice (</w:t>
      </w:r>
      <w:r w:rsidR="00BC1770">
        <w:t>18 393, 2,9 %</w:t>
      </w:r>
      <w:r w:rsidR="007A2CAC">
        <w:t>), SO ORP Lipník nad Bečvou (</w:t>
      </w:r>
      <w:r w:rsidR="00B5649D">
        <w:t>15 286, 2,4 %</w:t>
      </w:r>
      <w:r w:rsidR="007A2CAC">
        <w:t>) a SO ORP Konice (</w:t>
      </w:r>
      <w:r w:rsidR="00B5649D">
        <w:t>10 824, 1,7 %</w:t>
      </w:r>
      <w:r w:rsidR="007A2CAC">
        <w:t>).</w:t>
      </w:r>
      <w:r w:rsidR="00042843">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684785" w:rsidTr="00684785">
        <w:tc>
          <w:tcPr>
            <w:tcW w:w="9212" w:type="dxa"/>
          </w:tcPr>
          <w:p w:rsidR="00684785" w:rsidRDefault="00684785" w:rsidP="00684785">
            <w:pPr>
              <w:keepNext/>
            </w:pPr>
            <w:r>
              <w:rPr>
                <w:noProof/>
                <w:lang w:eastAsia="cs-CZ"/>
              </w:rPr>
              <w:lastRenderedPageBreak/>
              <w:drawing>
                <wp:anchor distT="0" distB="0" distL="114300" distR="114300" simplePos="0" relativeHeight="251658240" behindDoc="0" locked="0" layoutInCell="1" allowOverlap="1" wp14:anchorId="335DC682" wp14:editId="2F954504">
                  <wp:simplePos x="0" y="0"/>
                  <wp:positionH relativeFrom="column">
                    <wp:posOffset>2817292</wp:posOffset>
                  </wp:positionH>
                  <wp:positionV relativeFrom="paragraph">
                    <wp:posOffset>211353</wp:posOffset>
                  </wp:positionV>
                  <wp:extent cx="2796116" cy="2820838"/>
                  <wp:effectExtent l="0" t="0" r="444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6116" cy="2820838"/>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0C85717D" wp14:editId="765F8360">
                  <wp:extent cx="4070453" cy="5865962"/>
                  <wp:effectExtent l="0" t="0" r="635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70453" cy="5865962"/>
                          </a:xfrm>
                          <a:prstGeom prst="rect">
                            <a:avLst/>
                          </a:prstGeom>
                        </pic:spPr>
                      </pic:pic>
                    </a:graphicData>
                  </a:graphic>
                </wp:inline>
              </w:drawing>
            </w:r>
            <w:r>
              <w:rPr>
                <w:noProof/>
                <w:lang w:eastAsia="cs-CZ"/>
              </w:rPr>
              <w:t xml:space="preserve"> </w:t>
            </w:r>
          </w:p>
        </w:tc>
      </w:tr>
    </w:tbl>
    <w:p w:rsidR="00E114BF" w:rsidRDefault="00684785" w:rsidP="005069C2">
      <w:pPr>
        <w:pStyle w:val="Tabulka"/>
      </w:pPr>
      <w:bookmarkStart w:id="10" w:name="_Toc469897503"/>
      <w:r>
        <w:t xml:space="preserve">Obr. </w:t>
      </w:r>
      <w:r w:rsidR="005D1BD9">
        <w:fldChar w:fldCharType="begin"/>
      </w:r>
      <w:r w:rsidR="005D1BD9">
        <w:instrText xml:space="preserve"> SEQ Obr._ \* ARABIC </w:instrText>
      </w:r>
      <w:r w:rsidR="005D1BD9">
        <w:fldChar w:fldCharType="separate"/>
      </w:r>
      <w:r w:rsidR="003A35BB">
        <w:rPr>
          <w:noProof/>
        </w:rPr>
        <w:t>1</w:t>
      </w:r>
      <w:r w:rsidR="005D1BD9">
        <w:rPr>
          <w:noProof/>
        </w:rPr>
        <w:fldChar w:fldCharType="end"/>
      </w:r>
      <w:r>
        <w:t xml:space="preserve"> </w:t>
      </w:r>
      <w:r w:rsidR="00BB649C">
        <w:t>Administrativní</w:t>
      </w:r>
      <w:r>
        <w:t xml:space="preserve"> členění Olomouckého kraje</w:t>
      </w:r>
      <w:r w:rsidR="00D825A5">
        <w:t xml:space="preserve"> (</w:t>
      </w:r>
      <w:r w:rsidR="00D825A5" w:rsidRPr="005052E8">
        <w:rPr>
          <w:i/>
        </w:rPr>
        <w:t>Zdroj: Če</w:t>
      </w:r>
      <w:r w:rsidRPr="005052E8">
        <w:rPr>
          <w:i/>
        </w:rPr>
        <w:t>ský statistický úřad</w:t>
      </w:r>
      <w:r>
        <w:t>)</w:t>
      </w:r>
      <w:bookmarkEnd w:id="10"/>
      <w:r w:rsidR="00E114BF">
        <w:br w:type="page"/>
      </w:r>
    </w:p>
    <w:p w:rsidR="00893EB7" w:rsidRPr="00D47ABC" w:rsidRDefault="00893EB7" w:rsidP="006A1FD8">
      <w:pPr>
        <w:pStyle w:val="Nadpis2"/>
      </w:pPr>
      <w:bookmarkStart w:id="11" w:name="_Toc469989346"/>
      <w:r w:rsidRPr="00D47ABC">
        <w:lastRenderedPageBreak/>
        <w:t>SO ORP Jeseník</w:t>
      </w:r>
      <w:bookmarkEnd w:id="11"/>
    </w:p>
    <w:p w:rsidR="00300E65" w:rsidRDefault="007E3A45" w:rsidP="00300E65">
      <w:r w:rsidRPr="007E3A45">
        <w:t>SO ORP Jeseník se nachází v nejsevernější části Olomouckého kraje.</w:t>
      </w:r>
      <w:r w:rsidR="000D5594">
        <w:t xml:space="preserve"> Na Východě </w:t>
      </w:r>
      <w:r w:rsidR="00AD0240">
        <w:t xml:space="preserve">sousedí </w:t>
      </w:r>
      <w:r w:rsidR="003F2640">
        <w:t xml:space="preserve">s </w:t>
      </w:r>
      <w:r w:rsidR="00AD0240">
        <w:t>Moravskoslezským krajem a na jihu s SO ORP Šumperk.</w:t>
      </w:r>
      <w:r w:rsidRPr="007E3A45">
        <w:t xml:space="preserve"> </w:t>
      </w:r>
      <w:r w:rsidR="00227E5B">
        <w:t>Západní a severní hranice je tvořena státní hranicí</w:t>
      </w:r>
      <w:r w:rsidR="000D5594">
        <w:t xml:space="preserve"> s Polskou </w:t>
      </w:r>
      <w:r w:rsidR="00227E5B">
        <w:t>republikou.</w:t>
      </w:r>
      <w:r w:rsidR="00F1188E">
        <w:t xml:space="preserve"> SO ORP Jeseník zahrnuje </w:t>
      </w:r>
      <w:r w:rsidR="00F1188E" w:rsidRPr="00F1188E">
        <w:t xml:space="preserve">24 obcí </w:t>
      </w:r>
      <w:r w:rsidR="00F12AB2">
        <w:t>–</w:t>
      </w:r>
      <w:r w:rsidR="00FC695A">
        <w:t xml:space="preserve"> </w:t>
      </w:r>
      <w:r w:rsidR="00F12AB2" w:rsidRPr="00F12AB2">
        <w:t>Bělá pod Pradědem, Bernartice, Bílá Voda, Černá Voda, Česká Ves, Hradec-Nová Ves, Javorník, Jeseník, Kobylá nad Vidnavkou, Lipová-lázně, Mikulovice, Ostružná, Písečná, Skorošice, Stará Červená Voda, Supíkovice, Uhelná, Vápenná, Velká Kraš, Velké Kunětice, Vidn</w:t>
      </w:r>
      <w:r w:rsidR="00F12AB2">
        <w:t>ava, Vlčice, Zlaté Hory a Žulová.</w:t>
      </w:r>
      <w:r w:rsidR="00300E65">
        <w:t xml:space="preserve"> </w:t>
      </w:r>
      <w:r w:rsidR="00300E65" w:rsidRPr="00F12AB2">
        <w:t xml:space="preserve">Obcí s největším počtem obyvatel </w:t>
      </w:r>
      <w:r w:rsidR="00F12AB2" w:rsidRPr="00F12AB2">
        <w:t xml:space="preserve">k 31. 12. 2015 bylo město </w:t>
      </w:r>
      <w:r w:rsidR="00300E65" w:rsidRPr="00F12AB2">
        <w:t>Jeseník s</w:t>
      </w:r>
      <w:r w:rsidR="00F12AB2" w:rsidRPr="00F12AB2">
        <w:t> 11 471</w:t>
      </w:r>
      <w:r w:rsidR="004828DD" w:rsidRPr="00F12AB2">
        <w:t> obyvateli, nejmenší pak</w:t>
      </w:r>
      <w:r w:rsidR="00F12AB2" w:rsidRPr="00F12AB2">
        <w:t xml:space="preserve"> byla</w:t>
      </w:r>
      <w:r w:rsidR="004828DD" w:rsidRPr="00F12AB2">
        <w:t xml:space="preserve"> obec</w:t>
      </w:r>
      <w:r w:rsidR="00F12AB2" w:rsidRPr="00F12AB2">
        <w:t xml:space="preserve"> Ostružná</w:t>
      </w:r>
      <w:r w:rsidR="004828DD" w:rsidRPr="00F12AB2">
        <w:t xml:space="preserve"> s</w:t>
      </w:r>
      <w:r w:rsidR="00F12AB2" w:rsidRPr="00F12AB2">
        <w:t>e 175 evidovanými</w:t>
      </w:r>
      <w:r w:rsidR="004828DD" w:rsidRPr="00F12AB2">
        <w:t> obyvateli.</w:t>
      </w:r>
    </w:p>
    <w:p w:rsidR="003F3C45" w:rsidRDefault="00BE5DF4" w:rsidP="005212D3">
      <w:r>
        <w:t xml:space="preserve">K 31. 12. </w:t>
      </w:r>
      <w:r w:rsidR="00102294">
        <w:t xml:space="preserve">2015 bylo v </w:t>
      </w:r>
      <w:r>
        <w:t>SO ORP Jeseník</w:t>
      </w:r>
      <w:r w:rsidR="00102294">
        <w:t xml:space="preserve"> evidováno </w:t>
      </w:r>
      <w:r>
        <w:t>39</w:t>
      </w:r>
      <w:r w:rsidR="0032398E">
        <w:t> </w:t>
      </w:r>
      <w:r>
        <w:t>261</w:t>
      </w:r>
      <w:r w:rsidR="0032398E">
        <w:t xml:space="preserve"> </w:t>
      </w:r>
      <w:r w:rsidR="006E2A52">
        <w:t xml:space="preserve">obyvatel, </w:t>
      </w:r>
      <w:r w:rsidR="0032398E">
        <w:t xml:space="preserve">což tvořilo </w:t>
      </w:r>
      <w:r>
        <w:t>6,2 %</w:t>
      </w:r>
      <w:r w:rsidR="0032398E">
        <w:t xml:space="preserve"> z celkového počtu obyvatel Olomouckého kraje. </w:t>
      </w:r>
      <w:r w:rsidR="003F3C45">
        <w:t xml:space="preserve">Vývoj počtu obyvatel měl v SO ORP Jeseník </w:t>
      </w:r>
      <w:r w:rsidR="00733EE0">
        <w:t xml:space="preserve">mezi lety 1991 – 2015 </w:t>
      </w:r>
      <w:r w:rsidR="00361894">
        <w:t>různé</w:t>
      </w:r>
      <w:r w:rsidR="00733EE0">
        <w:t xml:space="preserve"> tendence. V první polovině 9</w:t>
      </w:r>
      <w:r w:rsidR="00586D47">
        <w:t>0,</w:t>
      </w:r>
      <w:r w:rsidR="00733EE0">
        <w:t xml:space="preserve"> let </w:t>
      </w:r>
      <w:r w:rsidR="004A4EF2">
        <w:t xml:space="preserve">měl vývoj počtu obyvatel mírně vzrůstající tendenci. Zlom nastal v roce 1995, kdy začal </w:t>
      </w:r>
      <w:r w:rsidR="00537055">
        <w:t>počet obyvatel klesat. Mezi lety 1991 – 199</w:t>
      </w:r>
      <w:r w:rsidR="00FC3CAA">
        <w:t xml:space="preserve">4 </w:t>
      </w:r>
      <w:r w:rsidR="007878A2">
        <w:t xml:space="preserve">rostl počet obyvatel meziročně o </w:t>
      </w:r>
      <w:r w:rsidR="008E2075">
        <w:t xml:space="preserve">0,1 </w:t>
      </w:r>
      <w:r w:rsidR="00FC3CAA">
        <w:t xml:space="preserve">– </w:t>
      </w:r>
      <w:r w:rsidR="008E2075">
        <w:t xml:space="preserve">0,4 %. Mezi lety 1995 </w:t>
      </w:r>
      <w:r w:rsidR="00C63A9A">
        <w:t>–</w:t>
      </w:r>
      <w:r w:rsidR="008E2075">
        <w:t xml:space="preserve"> </w:t>
      </w:r>
      <w:r w:rsidR="00C63A9A">
        <w:t>200</w:t>
      </w:r>
      <w:r w:rsidR="00FC3CAA">
        <w:t>6</w:t>
      </w:r>
      <w:r w:rsidR="00C63A9A">
        <w:t xml:space="preserve"> začal postupný pokles, který meziročně činil 0,07 – 0,32 %. </w:t>
      </w:r>
      <w:r w:rsidR="00FC3CAA">
        <w:t>Od roku 2007 se</w:t>
      </w:r>
      <w:r w:rsidR="0031383C">
        <w:t xml:space="preserve"> meziroční</w:t>
      </w:r>
      <w:r w:rsidR="00FC3CAA">
        <w:t xml:space="preserve"> úbytek </w:t>
      </w:r>
      <w:r w:rsidR="0031383C">
        <w:t>počtu obyvatel pohyboval od 0,39 % až do 0,82 % v letech 2014 a 2015.</w:t>
      </w:r>
      <w:r w:rsidR="008E405C">
        <w:t xml:space="preserve"> </w:t>
      </w:r>
      <w:r w:rsidR="00C67E73">
        <w:t xml:space="preserve">Jak </w:t>
      </w:r>
      <w:r w:rsidR="000871E2">
        <w:t>uvádí</w:t>
      </w:r>
      <w:r w:rsidR="00C67E73">
        <w:t xml:space="preserve"> </w:t>
      </w:r>
      <w:r w:rsidR="00C67E73" w:rsidRPr="00C67E73">
        <w:rPr>
          <w:i/>
        </w:rPr>
        <w:t>Tab. 5 Vývoj počtu obyvatel SO ORP Jeseník mezi lety 1991 – 2015</w:t>
      </w:r>
      <w:r w:rsidR="00C67E73" w:rsidRPr="00C67E73">
        <w:t xml:space="preserve"> </w:t>
      </w:r>
      <w:r w:rsidR="00C67E73">
        <w:t>p</w:t>
      </w:r>
      <w:r w:rsidR="008E405C">
        <w:t>očet obyvatel tak mezi lety 1991 – 2015 klesl z původních 42</w:t>
      </w:r>
      <w:r w:rsidR="006E2A52">
        <w:t> </w:t>
      </w:r>
      <w:r w:rsidR="008E405C">
        <w:t>635</w:t>
      </w:r>
      <w:r w:rsidR="006E2A52">
        <w:t xml:space="preserve"> o </w:t>
      </w:r>
      <w:r w:rsidR="008C7F34">
        <w:t>3 364</w:t>
      </w:r>
      <w:r w:rsidR="008E405C">
        <w:t xml:space="preserve"> na 39</w:t>
      </w:r>
      <w:r w:rsidR="008C7F34">
        <w:t> </w:t>
      </w:r>
      <w:r w:rsidR="008E405C">
        <w:t>261</w:t>
      </w:r>
      <w:r w:rsidR="008C7F34">
        <w:t xml:space="preserve"> obyvatel</w:t>
      </w:r>
      <w:r w:rsidR="008E405C">
        <w:t>.</w:t>
      </w:r>
    </w:p>
    <w:p w:rsidR="00295C2C" w:rsidRDefault="00E61DB4" w:rsidP="005212D3">
      <w:r w:rsidRPr="000D173E">
        <w:t>Klesající tendenci obyvatel v </w:t>
      </w:r>
      <w:r w:rsidR="000D2303" w:rsidRPr="000D173E">
        <w:t xml:space="preserve">posledních letech (2010 – 2015) </w:t>
      </w:r>
      <w:r w:rsidRPr="000D173E">
        <w:t>pocítil</w:t>
      </w:r>
      <w:r w:rsidR="000D173E" w:rsidRPr="000D173E">
        <w:t>y</w:t>
      </w:r>
      <w:r w:rsidRPr="000D173E">
        <w:t xml:space="preserve"> nejvíce</w:t>
      </w:r>
      <w:r w:rsidR="008D71D8" w:rsidRPr="000D173E">
        <w:t xml:space="preserve"> ob</w:t>
      </w:r>
      <w:r w:rsidR="000D2303" w:rsidRPr="000D173E">
        <w:t>ce</w:t>
      </w:r>
      <w:r w:rsidRPr="000D173E">
        <w:t xml:space="preserve"> </w:t>
      </w:r>
      <w:r w:rsidR="0089430D" w:rsidRPr="000D173E">
        <w:t xml:space="preserve">Černá Voda, </w:t>
      </w:r>
      <w:proofErr w:type="spellStart"/>
      <w:r w:rsidR="0089430D" w:rsidRPr="000D173E">
        <w:t>Kobylná</w:t>
      </w:r>
      <w:proofErr w:type="spellEnd"/>
      <w:r w:rsidR="0089430D" w:rsidRPr="000D173E">
        <w:t xml:space="preserve"> nad Vidnavkou, Lipová-lázně, </w:t>
      </w:r>
      <w:r w:rsidR="000D173E">
        <w:t>U</w:t>
      </w:r>
      <w:r w:rsidR="000D173E" w:rsidRPr="000D173E">
        <w:t>helná, Velká Kraš a Vlčice,</w:t>
      </w:r>
      <w:r w:rsidR="008A4DB5" w:rsidRPr="000D173E">
        <w:t xml:space="preserve"> kde počet obyvatel </w:t>
      </w:r>
      <w:r w:rsidR="000D173E">
        <w:t xml:space="preserve">klesl o 7 – 10 </w:t>
      </w:r>
      <w:r w:rsidR="008A4DB5" w:rsidRPr="000D173E">
        <w:t xml:space="preserve">%. Naopak </w:t>
      </w:r>
      <w:r w:rsidR="00F913F5">
        <w:t xml:space="preserve">opačný trend </w:t>
      </w:r>
      <w:r w:rsidR="008A4DB5" w:rsidRPr="000D173E">
        <w:t xml:space="preserve">proti celkovému vývoji počtu obyvatelstva v SO ORP Jeseník </w:t>
      </w:r>
      <w:r w:rsidR="00F913F5">
        <w:t>měla</w:t>
      </w:r>
      <w:r w:rsidR="00AA01CD" w:rsidRPr="000D173E">
        <w:t xml:space="preserve"> obec </w:t>
      </w:r>
      <w:r w:rsidR="00B40594">
        <w:t>Hradec-Nová Ves</w:t>
      </w:r>
      <w:r w:rsidR="00AA01CD" w:rsidRPr="000D173E">
        <w:t xml:space="preserve">, kde počet obyvatel mezi lety 2010 </w:t>
      </w:r>
      <w:r w:rsidR="00FC4B23">
        <w:t>–</w:t>
      </w:r>
      <w:r w:rsidR="00AA01CD" w:rsidRPr="000D173E">
        <w:t xml:space="preserve"> 2015 vzrostl z </w:t>
      </w:r>
      <w:r w:rsidR="00FC4B23">
        <w:t>321</w:t>
      </w:r>
      <w:r w:rsidR="00AA01CD" w:rsidRPr="000D173E">
        <w:t xml:space="preserve"> na </w:t>
      </w:r>
      <w:r w:rsidR="00FC4B23">
        <w:t>387</w:t>
      </w:r>
      <w:r w:rsidR="00AA01CD" w:rsidRPr="000D173E">
        <w:t xml:space="preserve"> obyvatel, což čin</w:t>
      </w:r>
      <w:r w:rsidR="00F913F5">
        <w:t>ilo</w:t>
      </w:r>
      <w:r w:rsidR="00AA01CD" w:rsidRPr="000D173E">
        <w:t xml:space="preserve"> přírůstek</w:t>
      </w:r>
      <w:r w:rsidR="00FC4B23">
        <w:t xml:space="preserve"> 20,6%</w:t>
      </w:r>
      <w:r w:rsidR="00AA01CD" w:rsidRPr="000D173E">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EF7CA4">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1991</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42 635</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86</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586D47" w:rsidP="00D10436">
            <w:pPr>
              <w:jc w:val="center"/>
              <w:rPr>
                <w:sz w:val="18"/>
                <w:szCs w:val="18"/>
              </w:rPr>
            </w:pPr>
            <w:r>
              <w:rPr>
                <w:sz w:val="18"/>
                <w:szCs w:val="18"/>
              </w:rPr>
              <w:t>0,</w:t>
            </w:r>
            <w:r w:rsidR="00C56915" w:rsidRPr="00D10436">
              <w:rPr>
                <w:sz w:val="18"/>
                <w:szCs w:val="18"/>
              </w:rPr>
              <w:t>20%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42 014</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-134</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32%</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1992</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42 809</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174</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586D47" w:rsidP="00D10436">
            <w:pPr>
              <w:jc w:val="center"/>
              <w:rPr>
                <w:sz w:val="18"/>
                <w:szCs w:val="18"/>
              </w:rPr>
            </w:pPr>
            <w:r>
              <w:rPr>
                <w:sz w:val="18"/>
                <w:szCs w:val="18"/>
              </w:rPr>
              <w:t>0,</w:t>
            </w:r>
            <w:r w:rsidR="00C56915" w:rsidRPr="00D10436">
              <w:rPr>
                <w:sz w:val="18"/>
                <w:szCs w:val="18"/>
              </w:rPr>
              <w:t>41%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41 891</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-123</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29%</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1993</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42 874</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65</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586D47" w:rsidP="00D10436">
            <w:pPr>
              <w:jc w:val="center"/>
              <w:rPr>
                <w:sz w:val="18"/>
                <w:szCs w:val="18"/>
              </w:rPr>
            </w:pPr>
            <w:r>
              <w:rPr>
                <w:sz w:val="18"/>
                <w:szCs w:val="18"/>
              </w:rPr>
              <w:t>0,</w:t>
            </w:r>
            <w:r w:rsidR="00C56915" w:rsidRPr="00D10436">
              <w:rPr>
                <w:sz w:val="18"/>
                <w:szCs w:val="18"/>
              </w:rPr>
              <w:t>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41 827</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-64</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15%</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1994</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42 945</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71</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586D47" w:rsidP="00D10436">
            <w:pPr>
              <w:jc w:val="center"/>
              <w:rPr>
                <w:sz w:val="18"/>
                <w:szCs w:val="18"/>
              </w:rPr>
            </w:pPr>
            <w:r>
              <w:rPr>
                <w:sz w:val="18"/>
                <w:szCs w:val="18"/>
              </w:rPr>
              <w:t>0,</w:t>
            </w:r>
            <w:r w:rsidR="00C56915" w:rsidRPr="00D10436">
              <w:rPr>
                <w:sz w:val="18"/>
                <w:szCs w:val="18"/>
              </w:rPr>
              <w:t>17%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41 565</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-262</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63%</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1995</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42 862</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-83</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41 404</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-161</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39%</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1996</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42 821</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-41</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41 255</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-149</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36%</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1997</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42 784</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-37</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09%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41 095</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-160</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39%</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1998</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42 753</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-31</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07%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40 486</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-205</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51%</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1999</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42 677</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-76</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18%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40 189</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-297</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74%</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2000</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42 597</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-80</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39 910</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-279</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70%</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2001</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42 399</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-36</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08%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39 584</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-326</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82%</w:t>
            </w:r>
          </w:p>
        </w:tc>
      </w:tr>
      <w:tr w:rsidR="00C56915" w:rsidRPr="00BE4E54" w:rsidTr="00EF7CA4">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0F79C1" w:rsidRDefault="00C56915" w:rsidP="0047799D">
            <w:pPr>
              <w:pStyle w:val="Bezmezer"/>
              <w:rPr>
                <w:b/>
                <w:sz w:val="20"/>
              </w:rPr>
            </w:pPr>
            <w:r w:rsidRPr="000F79C1">
              <w:rPr>
                <w:b/>
                <w:sz w:val="20"/>
              </w:rPr>
              <w:t>2002</w:t>
            </w:r>
          </w:p>
        </w:tc>
        <w:tc>
          <w:tcPr>
            <w:tcW w:w="682"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42 251</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-148</w:t>
            </w:r>
          </w:p>
        </w:tc>
        <w:tc>
          <w:tcPr>
            <w:tcW w:w="727"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35%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C56915" w:rsidRPr="00D10436" w:rsidRDefault="00C56915" w:rsidP="00D10436">
            <w:pPr>
              <w:pStyle w:val="Bezmezer"/>
              <w:jc w:val="center"/>
              <w:rPr>
                <w:b/>
                <w:sz w:val="18"/>
                <w:szCs w:val="18"/>
              </w:rPr>
            </w:pPr>
            <w:r w:rsidRPr="00D10436">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39 261</w:t>
            </w:r>
          </w:p>
        </w:tc>
        <w:tc>
          <w:tcPr>
            <w:tcW w:w="727" w:type="pct"/>
            <w:tcBorders>
              <w:top w:val="single" w:sz="6" w:space="0" w:color="auto"/>
              <w:left w:val="single" w:sz="6" w:space="0" w:color="auto"/>
              <w:bottom w:val="single" w:sz="6" w:space="0" w:color="auto"/>
              <w:right w:val="single" w:sz="6" w:space="0" w:color="auto"/>
            </w:tcBorders>
            <w:vAlign w:val="center"/>
          </w:tcPr>
          <w:p w:rsidR="00C56915" w:rsidRPr="00D10436" w:rsidRDefault="00C56915" w:rsidP="00D10436">
            <w:pPr>
              <w:jc w:val="center"/>
              <w:rPr>
                <w:sz w:val="18"/>
                <w:szCs w:val="18"/>
              </w:rPr>
            </w:pPr>
            <w:r w:rsidRPr="00D10436">
              <w:rPr>
                <w:sz w:val="18"/>
                <w:szCs w:val="18"/>
              </w:rPr>
              <w:t>-323</w:t>
            </w:r>
          </w:p>
        </w:tc>
        <w:tc>
          <w:tcPr>
            <w:tcW w:w="722" w:type="pct"/>
            <w:tcBorders>
              <w:top w:val="single" w:sz="6" w:space="0" w:color="auto"/>
              <w:left w:val="single" w:sz="6" w:space="0" w:color="auto"/>
              <w:bottom w:val="single" w:sz="6" w:space="0" w:color="auto"/>
              <w:right w:val="double" w:sz="4" w:space="0" w:color="auto"/>
            </w:tcBorders>
            <w:vAlign w:val="center"/>
          </w:tcPr>
          <w:p w:rsidR="00C56915" w:rsidRPr="00D10436" w:rsidRDefault="00C56915" w:rsidP="00D10436">
            <w:pPr>
              <w:jc w:val="center"/>
              <w:rPr>
                <w:sz w:val="18"/>
                <w:szCs w:val="18"/>
              </w:rPr>
            </w:pPr>
            <w:r w:rsidRPr="00D10436">
              <w:rPr>
                <w:sz w:val="18"/>
                <w:szCs w:val="18"/>
              </w:rPr>
              <w:t>-</w:t>
            </w:r>
            <w:r w:rsidR="00586D47">
              <w:rPr>
                <w:sz w:val="18"/>
                <w:szCs w:val="18"/>
              </w:rPr>
              <w:t>0,</w:t>
            </w:r>
            <w:r w:rsidRPr="00D10436">
              <w:rPr>
                <w:sz w:val="18"/>
                <w:szCs w:val="18"/>
              </w:rPr>
              <w:t>82%</w:t>
            </w:r>
          </w:p>
        </w:tc>
      </w:tr>
      <w:tr w:rsidR="00F34C89" w:rsidRPr="00BE4E54" w:rsidTr="00EF7CA4">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F34C89" w:rsidRPr="000F79C1" w:rsidRDefault="00F34C89" w:rsidP="0047799D">
            <w:pPr>
              <w:pStyle w:val="Bezmezer"/>
              <w:rPr>
                <w:b/>
                <w:sz w:val="20"/>
              </w:rPr>
            </w:pPr>
            <w:r w:rsidRPr="000F79C1">
              <w:rPr>
                <w:b/>
                <w:sz w:val="20"/>
              </w:rPr>
              <w:t>2003</w:t>
            </w:r>
          </w:p>
        </w:tc>
        <w:tc>
          <w:tcPr>
            <w:tcW w:w="682" w:type="pct"/>
            <w:tcBorders>
              <w:top w:val="single" w:sz="6" w:space="0" w:color="auto"/>
              <w:left w:val="single" w:sz="6" w:space="0" w:color="auto"/>
              <w:bottom w:val="double" w:sz="4" w:space="0" w:color="auto"/>
              <w:right w:val="single" w:sz="6" w:space="0" w:color="auto"/>
            </w:tcBorders>
            <w:vAlign w:val="center"/>
          </w:tcPr>
          <w:p w:rsidR="00F34C89" w:rsidRPr="00D10436" w:rsidRDefault="00F34C89" w:rsidP="00D10436">
            <w:pPr>
              <w:jc w:val="center"/>
              <w:rPr>
                <w:sz w:val="18"/>
                <w:szCs w:val="18"/>
              </w:rPr>
            </w:pPr>
            <w:r w:rsidRPr="00D10436">
              <w:rPr>
                <w:sz w:val="18"/>
                <w:szCs w:val="18"/>
              </w:rPr>
              <w:t>42 148</w:t>
            </w:r>
          </w:p>
        </w:tc>
        <w:tc>
          <w:tcPr>
            <w:tcW w:w="727" w:type="pct"/>
            <w:tcBorders>
              <w:top w:val="single" w:sz="6" w:space="0" w:color="auto"/>
              <w:left w:val="single" w:sz="6" w:space="0" w:color="auto"/>
              <w:bottom w:val="double" w:sz="4" w:space="0" w:color="auto"/>
              <w:right w:val="single" w:sz="6" w:space="0" w:color="auto"/>
            </w:tcBorders>
            <w:vAlign w:val="center"/>
          </w:tcPr>
          <w:p w:rsidR="00F34C89" w:rsidRPr="00D10436" w:rsidRDefault="00F34C89" w:rsidP="00D10436">
            <w:pPr>
              <w:jc w:val="center"/>
              <w:rPr>
                <w:sz w:val="18"/>
                <w:szCs w:val="18"/>
              </w:rPr>
            </w:pPr>
            <w:r w:rsidRPr="00D10436">
              <w:rPr>
                <w:sz w:val="18"/>
                <w:szCs w:val="18"/>
              </w:rPr>
              <w:t>-103</w:t>
            </w:r>
          </w:p>
        </w:tc>
        <w:tc>
          <w:tcPr>
            <w:tcW w:w="727" w:type="pct"/>
            <w:tcBorders>
              <w:top w:val="single" w:sz="6" w:space="0" w:color="auto"/>
              <w:left w:val="single" w:sz="6" w:space="0" w:color="auto"/>
              <w:bottom w:val="double" w:sz="4" w:space="0" w:color="auto"/>
              <w:right w:val="double" w:sz="4" w:space="0" w:color="auto"/>
            </w:tcBorders>
            <w:vAlign w:val="center"/>
          </w:tcPr>
          <w:p w:rsidR="00F34C89" w:rsidRPr="00D10436" w:rsidRDefault="00F34C89" w:rsidP="00D10436">
            <w:pPr>
              <w:jc w:val="center"/>
              <w:rPr>
                <w:sz w:val="18"/>
                <w:szCs w:val="18"/>
              </w:rPr>
            </w:pPr>
            <w:r w:rsidRPr="00D10436">
              <w:rPr>
                <w:sz w:val="18"/>
                <w:szCs w:val="18"/>
              </w:rPr>
              <w:t>-</w:t>
            </w:r>
            <w:r w:rsidR="00586D47">
              <w:rPr>
                <w:sz w:val="18"/>
                <w:szCs w:val="18"/>
              </w:rPr>
              <w:t>0,</w:t>
            </w:r>
            <w:r w:rsidRPr="00D10436">
              <w:rPr>
                <w:sz w:val="18"/>
                <w:szCs w:val="18"/>
              </w:rPr>
              <w:t>24%</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F34C89" w:rsidRPr="00D10436" w:rsidRDefault="00F34C89" w:rsidP="002D5D71">
            <w:pPr>
              <w:pStyle w:val="Bezmezer"/>
              <w:keepNext/>
              <w:jc w:val="center"/>
              <w:rPr>
                <w:sz w:val="18"/>
                <w:szCs w:val="18"/>
              </w:rPr>
            </w:pPr>
          </w:p>
        </w:tc>
      </w:tr>
    </w:tbl>
    <w:p w:rsidR="002D5D71" w:rsidRDefault="002D5D71" w:rsidP="00D4363C">
      <w:pPr>
        <w:pStyle w:val="Tabulka"/>
      </w:pPr>
      <w:bookmarkStart w:id="12" w:name="_Toc469908879"/>
      <w:r>
        <w:t xml:space="preserve">Tab. </w:t>
      </w:r>
      <w:r w:rsidR="005D1BD9">
        <w:fldChar w:fldCharType="begin"/>
      </w:r>
      <w:r w:rsidR="005D1BD9">
        <w:instrText xml:space="preserve"> SEQ Tab. \* ARABIC </w:instrText>
      </w:r>
      <w:r w:rsidR="005D1BD9">
        <w:fldChar w:fldCharType="separate"/>
      </w:r>
      <w:r w:rsidR="003A35BB">
        <w:rPr>
          <w:noProof/>
        </w:rPr>
        <w:t>5</w:t>
      </w:r>
      <w:r w:rsidR="005D1BD9">
        <w:rPr>
          <w:noProof/>
        </w:rPr>
        <w:fldChar w:fldCharType="end"/>
      </w:r>
      <w:r w:rsidR="001E21CC">
        <w:rPr>
          <w:noProof/>
        </w:rPr>
        <w:t xml:space="preserve"> Vývoj počtu obyvatel SO ORP Jeseník mezi lety 1991 – 2015</w:t>
      </w:r>
      <w:bookmarkEnd w:id="12"/>
    </w:p>
    <w:p w:rsidR="00A16900" w:rsidRDefault="005F359C" w:rsidP="005212D3">
      <w:r>
        <w:t>Počet zemřelých</w:t>
      </w:r>
      <w:r w:rsidR="00BC331F">
        <w:t xml:space="preserve"> v SO ORP Jeseník</w:t>
      </w:r>
      <w:r>
        <w:t xml:space="preserve"> poprvé překonal počet živě narozených v roce </w:t>
      </w:r>
      <w:r w:rsidR="00BC331F">
        <w:t xml:space="preserve">1996 (402 živě </w:t>
      </w:r>
      <w:r w:rsidR="00E36748">
        <w:t>narozených, 407</w:t>
      </w:r>
      <w:r w:rsidR="004B655C">
        <w:t xml:space="preserve"> </w:t>
      </w:r>
      <w:r w:rsidR="00E36748">
        <w:t>zemřelých) od</w:t>
      </w:r>
      <w:r w:rsidR="00BC331F">
        <w:t xml:space="preserve"> té doby, s </w:t>
      </w:r>
      <w:r w:rsidR="00ED1776">
        <w:t>výjimkou</w:t>
      </w:r>
      <w:r w:rsidR="00BC331F">
        <w:t xml:space="preserve"> let </w:t>
      </w:r>
      <w:r w:rsidR="00ED1776">
        <w:t xml:space="preserve">2007 a 2009 (416 a 437 živě narozených, </w:t>
      </w:r>
      <w:r w:rsidR="00336BF5">
        <w:t>416 a 429</w:t>
      </w:r>
      <w:r w:rsidR="00ED1776">
        <w:t xml:space="preserve"> zemřelých</w:t>
      </w:r>
      <w:r w:rsidR="00336BF5">
        <w:t>), tento trend pokrač</w:t>
      </w:r>
      <w:r w:rsidR="00F913F5">
        <w:t>oval</w:t>
      </w:r>
      <w:r w:rsidR="00336BF5">
        <w:t>. Zatím co roční počet úmrtí m</w:t>
      </w:r>
      <w:r w:rsidR="006035EF">
        <w:t>ěl</w:t>
      </w:r>
      <w:r w:rsidR="00336BF5">
        <w:t xml:space="preserve"> převážně stagnující tendenci</w:t>
      </w:r>
      <w:r w:rsidR="00075B81">
        <w:t>,</w:t>
      </w:r>
      <w:r w:rsidR="00336BF5">
        <w:t xml:space="preserve"> počet živě narozených </w:t>
      </w:r>
      <w:r w:rsidR="00075B81">
        <w:t xml:space="preserve">mírně </w:t>
      </w:r>
      <w:r w:rsidR="006035EF">
        <w:t>rostl</w:t>
      </w:r>
      <w:r w:rsidR="00075B81">
        <w:t>.</w:t>
      </w:r>
    </w:p>
    <w:p w:rsidR="00B732C4" w:rsidRDefault="008B0DC9" w:rsidP="005212D3">
      <w:r>
        <w:lastRenderedPageBreak/>
        <w:t>Z hlediska přírůstku obyvatel stěhováním doch</w:t>
      </w:r>
      <w:r w:rsidR="006035EF">
        <w:t>ázelo</w:t>
      </w:r>
      <w:r>
        <w:t xml:space="preserve"> v rámci SO ORP</w:t>
      </w:r>
      <w:r w:rsidR="002544E3">
        <w:t xml:space="preserve"> </w:t>
      </w:r>
      <w:r w:rsidR="006035EF">
        <w:t xml:space="preserve">Jeseník </w:t>
      </w:r>
      <w:r w:rsidR="001F51ED">
        <w:t>k dlouhodobému úbytku</w:t>
      </w:r>
      <w:r w:rsidR="00C658E0">
        <w:t xml:space="preserve"> který se pohyboval do</w:t>
      </w:r>
      <w:r w:rsidR="00D41DFB">
        <w:t xml:space="preserve"> roku 2006 meziročně do </w:t>
      </w:r>
      <w:r w:rsidR="00C658E0">
        <w:t>0,2</w:t>
      </w:r>
      <w:r w:rsidR="00D41DFB">
        <w:t>8 %, kromě roku 2001, kdy došlo k</w:t>
      </w:r>
      <w:r w:rsidR="00123696">
        <w:t> meziročnímu růstu 0,04 %. Od roku 2006 počet meziroční úbytek stěhováním ros</w:t>
      </w:r>
      <w:r w:rsidR="00043C0A">
        <w:t>tl</w:t>
      </w:r>
      <w:r w:rsidR="00123696">
        <w:t xml:space="preserve"> </w:t>
      </w:r>
      <w:r w:rsidR="004235DB">
        <w:t>a dosahoval v roce 2007 až 0,66 %.</w:t>
      </w:r>
    </w:p>
    <w:p w:rsidR="00AD6B94" w:rsidRDefault="00942E4E" w:rsidP="00AD6B94">
      <w:pPr>
        <w:keepNext/>
      </w:pPr>
      <w:r>
        <w:rPr>
          <w:noProof/>
          <w:lang w:eastAsia="cs-CZ"/>
        </w:rPr>
        <w:drawing>
          <wp:inline distT="0" distB="0" distL="0" distR="0" wp14:anchorId="73B6FB2E" wp14:editId="4DCF08F9">
            <wp:extent cx="5760720" cy="3683897"/>
            <wp:effectExtent l="0" t="0" r="11430" b="1206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6900" w:rsidRDefault="00AD6B94" w:rsidP="00D4363C">
      <w:pPr>
        <w:pStyle w:val="Tabulka"/>
      </w:pPr>
      <w:bookmarkStart w:id="13" w:name="_Toc469908862"/>
      <w:r>
        <w:t xml:space="preserve">Graf </w:t>
      </w:r>
      <w:r w:rsidR="005D1BD9">
        <w:fldChar w:fldCharType="begin"/>
      </w:r>
      <w:r w:rsidR="005D1BD9">
        <w:instrText xml:space="preserve"> SEQ Graf \* ARABIC </w:instrText>
      </w:r>
      <w:r w:rsidR="005D1BD9">
        <w:fldChar w:fldCharType="separate"/>
      </w:r>
      <w:r w:rsidR="003A35BB">
        <w:rPr>
          <w:noProof/>
        </w:rPr>
        <w:t>3</w:t>
      </w:r>
      <w:r w:rsidR="005D1BD9">
        <w:rPr>
          <w:noProof/>
        </w:rPr>
        <w:fldChar w:fldCharType="end"/>
      </w:r>
      <w:r w:rsidR="0074624D">
        <w:rPr>
          <w:noProof/>
        </w:rPr>
        <w:t xml:space="preserve"> Vývoj a předpokládaný vývoj počtu obyvatel SO ORP Jeseník v letech 1991 – 2050</w:t>
      </w:r>
      <w:bookmarkEnd w:id="13"/>
    </w:p>
    <w:p w:rsidR="00950E4C" w:rsidRPr="00E00758" w:rsidRDefault="00950E4C" w:rsidP="00950E4C">
      <w:r>
        <w:t>Výh</w:t>
      </w:r>
      <w:r w:rsidR="00593E39">
        <w:t>led počtu obyvatel</w:t>
      </w:r>
      <w:r w:rsidR="00E00758">
        <w:t> SO ORP Jeseník</w:t>
      </w:r>
      <w:r w:rsidR="00593E39">
        <w:t xml:space="preserve"> </w:t>
      </w:r>
      <w:r w:rsidR="00784C27">
        <w:t>předpokládá v pokračujíc</w:t>
      </w:r>
      <w:r w:rsidR="000871E2">
        <w:t xml:space="preserve">ím trendu úbytku počtu </w:t>
      </w:r>
      <w:proofErr w:type="gramStart"/>
      <w:r w:rsidR="000871E2">
        <w:t>obyvatel jak</w:t>
      </w:r>
      <w:proofErr w:type="gramEnd"/>
      <w:r w:rsidR="000871E2">
        <w:t xml:space="preserve"> </w:t>
      </w:r>
      <w:r w:rsidR="002A5AF6">
        <w:t xml:space="preserve">zobrazuje </w:t>
      </w:r>
      <w:r w:rsidR="000871E2">
        <w:t xml:space="preserve"> </w:t>
      </w:r>
      <w:r w:rsidR="00E00758" w:rsidRPr="00E00758">
        <w:rPr>
          <w:i/>
        </w:rPr>
        <w:t>Graf 3 Vývoj a předpokládaný vývoj počtu obyvatel SO ORP Jeseník v letech 1991 – 2050</w:t>
      </w:r>
      <w:r w:rsidR="00E00758">
        <w:rPr>
          <w:i/>
        </w:rPr>
        <w:t xml:space="preserve"> </w:t>
      </w:r>
      <w:r w:rsidR="00E00758">
        <w:t xml:space="preserve">a </w:t>
      </w:r>
      <w:r w:rsidR="00E00758" w:rsidRPr="00E00758">
        <w:rPr>
          <w:i/>
        </w:rPr>
        <w:t>Tab. 6 Předpokládaný vývoj počtu obyvatel SO ORP Jeseník do roku 2050.</w:t>
      </w:r>
    </w:p>
    <w:tbl>
      <w:tblPr>
        <w:tblStyle w:val="Mkatabulky"/>
        <w:tblW w:w="5000" w:type="pct"/>
        <w:tblLook w:val="04A0" w:firstRow="1" w:lastRow="0" w:firstColumn="1" w:lastColumn="0" w:noHBand="0" w:noVBand="1"/>
      </w:tblPr>
      <w:tblGrid>
        <w:gridCol w:w="1857"/>
        <w:gridCol w:w="1857"/>
        <w:gridCol w:w="1858"/>
        <w:gridCol w:w="1858"/>
        <w:gridCol w:w="1858"/>
      </w:tblGrid>
      <w:tr w:rsidR="00DE2217" w:rsidTr="00F70085">
        <w:tc>
          <w:tcPr>
            <w:tcW w:w="1000" w:type="pct"/>
            <w:tcBorders>
              <w:top w:val="double" w:sz="4" w:space="0" w:color="auto"/>
              <w:left w:val="double" w:sz="4" w:space="0" w:color="auto"/>
            </w:tcBorders>
            <w:shd w:val="clear" w:color="auto" w:fill="BCD9DE" w:themeFill="accent5" w:themeFillTint="66"/>
            <w:vAlign w:val="center"/>
          </w:tcPr>
          <w:p w:rsidR="00DE2217" w:rsidRDefault="00DE2217" w:rsidP="002744D5">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DE2217" w:rsidRPr="0047799D" w:rsidRDefault="00DE2217" w:rsidP="002744D5">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DE2217" w:rsidRPr="0047799D" w:rsidRDefault="00DE2217" w:rsidP="002744D5">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DE2217" w:rsidRPr="0047799D" w:rsidRDefault="00DE2217" w:rsidP="002744D5">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DE2217" w:rsidRPr="0047799D" w:rsidRDefault="00DE2217" w:rsidP="002744D5">
            <w:pPr>
              <w:jc w:val="center"/>
              <w:rPr>
                <w:b/>
                <w:sz w:val="18"/>
              </w:rPr>
            </w:pPr>
            <w:r w:rsidRPr="0047799D">
              <w:rPr>
                <w:b/>
                <w:sz w:val="18"/>
              </w:rPr>
              <w:t>2050</w:t>
            </w:r>
          </w:p>
        </w:tc>
      </w:tr>
      <w:tr w:rsidR="00DE2217" w:rsidTr="00F70085">
        <w:tc>
          <w:tcPr>
            <w:tcW w:w="1000" w:type="pct"/>
            <w:tcBorders>
              <w:left w:val="double" w:sz="4" w:space="0" w:color="auto"/>
              <w:bottom w:val="double" w:sz="4" w:space="0" w:color="auto"/>
            </w:tcBorders>
            <w:shd w:val="clear" w:color="auto" w:fill="BCD9DE" w:themeFill="accent5" w:themeFillTint="66"/>
            <w:vAlign w:val="center"/>
          </w:tcPr>
          <w:p w:rsidR="00DE2217" w:rsidRPr="004E092F" w:rsidRDefault="00DE2217" w:rsidP="002744D5">
            <w:pPr>
              <w:pStyle w:val="Bezmezer"/>
              <w:jc w:val="center"/>
              <w:rPr>
                <w:b/>
                <w:sz w:val="18"/>
              </w:rPr>
            </w:pPr>
            <w:r w:rsidRPr="004E092F">
              <w:rPr>
                <w:b/>
                <w:sz w:val="18"/>
              </w:rPr>
              <w:t>POČET OBYVATEL</w:t>
            </w:r>
          </w:p>
        </w:tc>
        <w:tc>
          <w:tcPr>
            <w:tcW w:w="1000" w:type="pct"/>
            <w:tcBorders>
              <w:bottom w:val="double" w:sz="4" w:space="0" w:color="auto"/>
            </w:tcBorders>
          </w:tcPr>
          <w:p w:rsidR="00DE2217" w:rsidRPr="007749B9" w:rsidRDefault="00DE2217" w:rsidP="007749B9">
            <w:pPr>
              <w:jc w:val="center"/>
              <w:rPr>
                <w:sz w:val="18"/>
              </w:rPr>
            </w:pPr>
            <w:r w:rsidRPr="007749B9">
              <w:rPr>
                <w:sz w:val="18"/>
              </w:rPr>
              <w:t>38</w:t>
            </w:r>
            <w:r w:rsidR="007749B9">
              <w:rPr>
                <w:sz w:val="18"/>
              </w:rPr>
              <w:t xml:space="preserve"> </w:t>
            </w:r>
            <w:r w:rsidRPr="007749B9">
              <w:rPr>
                <w:sz w:val="18"/>
              </w:rPr>
              <w:t>935</w:t>
            </w:r>
          </w:p>
        </w:tc>
        <w:tc>
          <w:tcPr>
            <w:tcW w:w="1000" w:type="pct"/>
            <w:tcBorders>
              <w:bottom w:val="double" w:sz="4" w:space="0" w:color="auto"/>
            </w:tcBorders>
          </w:tcPr>
          <w:p w:rsidR="00DE2217" w:rsidRPr="007749B9" w:rsidRDefault="00DE2217" w:rsidP="007749B9">
            <w:pPr>
              <w:jc w:val="center"/>
              <w:rPr>
                <w:sz w:val="18"/>
              </w:rPr>
            </w:pPr>
            <w:r w:rsidRPr="007749B9">
              <w:rPr>
                <w:sz w:val="18"/>
              </w:rPr>
              <w:t>38</w:t>
            </w:r>
            <w:r w:rsidR="007749B9">
              <w:rPr>
                <w:sz w:val="18"/>
              </w:rPr>
              <w:t xml:space="preserve"> </w:t>
            </w:r>
            <w:r w:rsidRPr="007749B9">
              <w:rPr>
                <w:sz w:val="18"/>
              </w:rPr>
              <w:t>300</w:t>
            </w:r>
          </w:p>
        </w:tc>
        <w:tc>
          <w:tcPr>
            <w:tcW w:w="1000" w:type="pct"/>
            <w:tcBorders>
              <w:bottom w:val="double" w:sz="4" w:space="0" w:color="auto"/>
            </w:tcBorders>
          </w:tcPr>
          <w:p w:rsidR="00DE2217" w:rsidRPr="007749B9" w:rsidRDefault="00DE2217" w:rsidP="007749B9">
            <w:pPr>
              <w:jc w:val="center"/>
              <w:rPr>
                <w:sz w:val="18"/>
              </w:rPr>
            </w:pPr>
            <w:r w:rsidRPr="007749B9">
              <w:rPr>
                <w:sz w:val="18"/>
              </w:rPr>
              <w:t>37</w:t>
            </w:r>
            <w:r w:rsidR="007749B9">
              <w:rPr>
                <w:sz w:val="18"/>
              </w:rPr>
              <w:t xml:space="preserve"> </w:t>
            </w:r>
            <w:r w:rsidRPr="007749B9">
              <w:rPr>
                <w:sz w:val="18"/>
              </w:rPr>
              <w:t>687</w:t>
            </w:r>
          </w:p>
        </w:tc>
        <w:tc>
          <w:tcPr>
            <w:tcW w:w="1000" w:type="pct"/>
            <w:tcBorders>
              <w:bottom w:val="double" w:sz="4" w:space="0" w:color="auto"/>
              <w:right w:val="double" w:sz="4" w:space="0" w:color="auto"/>
            </w:tcBorders>
          </w:tcPr>
          <w:p w:rsidR="00DE2217" w:rsidRPr="007749B9" w:rsidRDefault="00DE2217" w:rsidP="002D5D71">
            <w:pPr>
              <w:keepNext/>
              <w:jc w:val="center"/>
              <w:rPr>
                <w:sz w:val="18"/>
              </w:rPr>
            </w:pPr>
            <w:r w:rsidRPr="007749B9">
              <w:rPr>
                <w:sz w:val="18"/>
              </w:rPr>
              <w:t>35</w:t>
            </w:r>
            <w:r w:rsidR="007749B9">
              <w:rPr>
                <w:sz w:val="18"/>
              </w:rPr>
              <w:t xml:space="preserve"> </w:t>
            </w:r>
            <w:r w:rsidRPr="007749B9">
              <w:rPr>
                <w:sz w:val="18"/>
              </w:rPr>
              <w:t>418</w:t>
            </w:r>
          </w:p>
        </w:tc>
      </w:tr>
    </w:tbl>
    <w:p w:rsidR="004D62E0" w:rsidRDefault="002D5D71" w:rsidP="004D62E0">
      <w:pPr>
        <w:pStyle w:val="Tabulka"/>
        <w:rPr>
          <w:noProof/>
        </w:rPr>
      </w:pPr>
      <w:bookmarkStart w:id="14" w:name="_Toc469908880"/>
      <w:r>
        <w:t xml:space="preserve">Tab. </w:t>
      </w:r>
      <w:r w:rsidR="005D1BD9">
        <w:fldChar w:fldCharType="begin"/>
      </w:r>
      <w:r w:rsidR="005D1BD9">
        <w:instrText xml:space="preserve"> SEQ Tab. \* ARABIC </w:instrText>
      </w:r>
      <w:r w:rsidR="005D1BD9">
        <w:fldChar w:fldCharType="separate"/>
      </w:r>
      <w:r w:rsidR="003A35BB">
        <w:rPr>
          <w:noProof/>
        </w:rPr>
        <w:t>6</w:t>
      </w:r>
      <w:r w:rsidR="005D1BD9">
        <w:rPr>
          <w:noProof/>
        </w:rPr>
        <w:fldChar w:fldCharType="end"/>
      </w:r>
      <w:r w:rsidR="004D62E0">
        <w:rPr>
          <w:noProof/>
        </w:rPr>
        <w:t xml:space="preserve"> Předpokládaný vývoj počtu obyvatel SO ORP Jeseník do roku 2050</w:t>
      </w:r>
      <w:bookmarkEnd w:id="14"/>
    </w:p>
    <w:p w:rsidR="004D62E0" w:rsidRDefault="004D62E0">
      <w:pPr>
        <w:spacing w:before="0" w:after="0"/>
        <w:jc w:val="left"/>
      </w:pPr>
    </w:p>
    <w:p w:rsidR="00D4363C" w:rsidRDefault="00D4363C">
      <w:pPr>
        <w:spacing w:before="0" w:after="0"/>
        <w:jc w:val="left"/>
      </w:pPr>
      <w:r>
        <w:br w:type="page"/>
      </w:r>
    </w:p>
    <w:p w:rsidR="00893EB7" w:rsidRDefault="00893EB7" w:rsidP="00784C27">
      <w:pPr>
        <w:pStyle w:val="Nadpis2"/>
      </w:pPr>
      <w:bookmarkStart w:id="15" w:name="_Toc469989347"/>
      <w:r w:rsidRPr="00586E2D">
        <w:lastRenderedPageBreak/>
        <w:t>SO ORP Šumperk</w:t>
      </w:r>
      <w:bookmarkEnd w:id="15"/>
    </w:p>
    <w:p w:rsidR="00473F05" w:rsidRDefault="00473F05" w:rsidP="00473F05">
      <w:r w:rsidRPr="007E3A45">
        <w:t xml:space="preserve">SO ORP </w:t>
      </w:r>
      <w:r w:rsidR="004A6A91">
        <w:t>Šumperk</w:t>
      </w:r>
      <w:r w:rsidRPr="007E3A45">
        <w:t xml:space="preserve"> se nachází v </w:t>
      </w:r>
      <w:r w:rsidR="004A6A91">
        <w:t>severní</w:t>
      </w:r>
      <w:r w:rsidRPr="007E3A45">
        <w:t xml:space="preserve"> části Olomouckého kraje.</w:t>
      </w:r>
      <w:r w:rsidR="008D0D95">
        <w:t xml:space="preserve"> </w:t>
      </w:r>
      <w:r>
        <w:t xml:space="preserve">Na Východě sousedí Moravskoslezským krajem a na jihu s SO ORP </w:t>
      </w:r>
      <w:r w:rsidR="004A6A91">
        <w:t>Uničov a Zábřeh</w:t>
      </w:r>
      <w:r>
        <w:t>.</w:t>
      </w:r>
      <w:r w:rsidRPr="007E3A45">
        <w:t xml:space="preserve"> </w:t>
      </w:r>
      <w:r>
        <w:t>Západ</w:t>
      </w:r>
      <w:r w:rsidR="00BD0F40">
        <w:t>n</w:t>
      </w:r>
      <w:r w:rsidR="004A6A91">
        <w:t>ě</w:t>
      </w:r>
      <w:r>
        <w:t xml:space="preserve"> </w:t>
      </w:r>
      <w:r w:rsidR="004A6A91">
        <w:t>sousedí s Pardubickým krajem</w:t>
      </w:r>
      <w:r>
        <w:t xml:space="preserve">. </w:t>
      </w:r>
      <w:r w:rsidR="008D0D95">
        <w:t xml:space="preserve">Na severu sousedí s SO ORP Jeseník a severozápadní hranici tvoří státní hranice s Polskou republikou. </w:t>
      </w:r>
      <w:r>
        <w:t xml:space="preserve">SO ORP </w:t>
      </w:r>
      <w:r w:rsidR="004A6A91">
        <w:t>Šumperk</w:t>
      </w:r>
      <w:r>
        <w:t xml:space="preserve"> zahrnuje </w:t>
      </w:r>
      <w:r w:rsidR="004A6A91">
        <w:t>36</w:t>
      </w:r>
      <w:r w:rsidRPr="00F1188E">
        <w:t xml:space="preserve"> obcí </w:t>
      </w:r>
      <w:r w:rsidR="00F12AB2">
        <w:t>–</w:t>
      </w:r>
      <w:r>
        <w:t xml:space="preserve"> </w:t>
      </w:r>
      <w:r w:rsidR="00F12AB2" w:rsidRPr="00F12AB2">
        <w:t>Bludov, Bohdíkov, Bohutín, Branná, Bratrušov, Bušín, Dlouhomilov, Dolní Studénky, Hanušovice, Hraběšice, Hrabišín, Chromeč, Jakubovice, Janoušov, Jindřichov, Kopřivná, Libina, Loučná nad Desnou, Malá Morava, Nový Malín, Olšany, Oskava, Petrov nad Desnou, Písařov, Rapotín, Rejchartice, Ruda nad Moravou, Sobotín, Staré Město, Sudkov, Šléglov, Šumperk, Velké Losiny, Vernířovice, Vikantice</w:t>
      </w:r>
      <w:r w:rsidR="00F12AB2">
        <w:t xml:space="preserve"> a </w:t>
      </w:r>
      <w:r w:rsidR="00F12AB2" w:rsidRPr="00F12AB2">
        <w:t>Vikýřovice</w:t>
      </w:r>
      <w:r w:rsidR="00F12AB2">
        <w:t>.</w:t>
      </w:r>
      <w:r>
        <w:t xml:space="preserve"> Obcí s největším počtem obyvatel</w:t>
      </w:r>
      <w:r w:rsidR="004A6A91">
        <w:t xml:space="preserve"> k 31. 12. 2015</w:t>
      </w:r>
      <w:r>
        <w:t xml:space="preserve"> </w:t>
      </w:r>
      <w:r w:rsidR="004A6A91">
        <w:t>bylo</w:t>
      </w:r>
      <w:r>
        <w:t xml:space="preserve"> město </w:t>
      </w:r>
      <w:r w:rsidR="004A6A91">
        <w:t>Šumperk</w:t>
      </w:r>
      <w:r>
        <w:t xml:space="preserve"> s</w:t>
      </w:r>
      <w:r w:rsidR="004A6A91">
        <w:t xml:space="preserve"> 26 478 </w:t>
      </w:r>
      <w:r>
        <w:t xml:space="preserve">obyvateli, nejmenší </w:t>
      </w:r>
      <w:r w:rsidR="004A6A91">
        <w:t>pak</w:t>
      </w:r>
      <w:r w:rsidR="00F12AB2">
        <w:t xml:space="preserve"> byly</w:t>
      </w:r>
      <w:r w:rsidR="004A6A91">
        <w:t xml:space="preserve"> obce</w:t>
      </w:r>
      <w:r>
        <w:t xml:space="preserve"> </w:t>
      </w:r>
      <w:r w:rsidR="004A6A91">
        <w:t xml:space="preserve">Janoušov a </w:t>
      </w:r>
      <w:r w:rsidR="00F12AB2">
        <w:t>Šléglov</w:t>
      </w:r>
      <w:r w:rsidR="004A6A91">
        <w:t>, které měly k 31. 12. 2015 shodně 43 evidovaných obyvatel.</w:t>
      </w:r>
    </w:p>
    <w:p w:rsidR="00473F05" w:rsidRDefault="00473F05" w:rsidP="00473F05">
      <w:r>
        <w:t xml:space="preserve">K 31. 12. 2015 bylo v SO ORP </w:t>
      </w:r>
      <w:r w:rsidR="00BD0F40">
        <w:t>Šumperk</w:t>
      </w:r>
      <w:r>
        <w:t xml:space="preserve"> evidováno </w:t>
      </w:r>
      <w:r w:rsidR="00BD0F40">
        <w:t>69 940</w:t>
      </w:r>
      <w:r>
        <w:t xml:space="preserve"> obyvatel, což tvořilo </w:t>
      </w:r>
      <w:r w:rsidR="00BD0F40">
        <w:t>11</w:t>
      </w:r>
      <w:r>
        <w:t>,</w:t>
      </w:r>
      <w:r w:rsidR="00BD0F40">
        <w:t>0</w:t>
      </w:r>
      <w:r>
        <w:t xml:space="preserve"> % z celkového počtu obyvatel Olomouckého kraje. Vývoj počtu obyvatel měl v SO ORP </w:t>
      </w:r>
      <w:r w:rsidR="00BD0F40">
        <w:t>Šumperk</w:t>
      </w:r>
      <w:r>
        <w:t xml:space="preserve"> měl mezi lety 1991 – 2015 různé tendence. V první polovině 9</w:t>
      </w:r>
      <w:r w:rsidR="00586D47">
        <w:t>0,</w:t>
      </w:r>
      <w:r>
        <w:t xml:space="preserve"> let měl vývoj počtu obyvatel mírně vzrůstající tendenci. Zlom nastal v roce 199</w:t>
      </w:r>
      <w:r w:rsidR="00BD0F40">
        <w:t>6</w:t>
      </w:r>
      <w:r>
        <w:t>, kdy začal počet obyvat</w:t>
      </w:r>
      <w:r w:rsidR="00BD0F40">
        <w:t>el klesat. Mezi lety 1991 – 1995</w:t>
      </w:r>
      <w:r>
        <w:t xml:space="preserve"> rostl počet obyvatel meziročně o 0,</w:t>
      </w:r>
      <w:r w:rsidR="00BD0F40">
        <w:t>04</w:t>
      </w:r>
      <w:r>
        <w:t xml:space="preserve"> – 0,</w:t>
      </w:r>
      <w:r w:rsidR="00BD0F40">
        <w:t>34</w:t>
      </w:r>
      <w:r>
        <w:t xml:space="preserve"> %. </w:t>
      </w:r>
      <w:r w:rsidR="00BD0F40">
        <w:t xml:space="preserve">Od roku 1996 </w:t>
      </w:r>
      <w:r>
        <w:t>začal postupný pokles, který meziročně činil 0,0</w:t>
      </w:r>
      <w:r w:rsidR="00BD0F40">
        <w:t>4</w:t>
      </w:r>
      <w:r>
        <w:t xml:space="preserve"> – 0,</w:t>
      </w:r>
      <w:r w:rsidR="00BD0F40">
        <w:t>50</w:t>
      </w:r>
      <w:r>
        <w:t xml:space="preserve"> %. </w:t>
      </w:r>
      <w:r w:rsidR="00BD0F40">
        <w:t>Výjimkou byl rok 2008, kdy došlo k nepatrnému meziročnímu nárůstu 0,01%</w:t>
      </w:r>
      <w:r>
        <w:t xml:space="preserve">. </w:t>
      </w:r>
      <w:r w:rsidR="006F0565">
        <w:t xml:space="preserve">Jak uvádí </w:t>
      </w:r>
      <w:r w:rsidR="006F0565" w:rsidRPr="006F0565">
        <w:rPr>
          <w:i/>
        </w:rPr>
        <w:t>Tab. 7 Vývoj počtu obyvatel SO ORP Šumperk mezi lety 1991 – 2015</w:t>
      </w:r>
      <w:r w:rsidR="006F0565">
        <w:t xml:space="preserve"> p</w:t>
      </w:r>
      <w:r>
        <w:t>očet obyvatel tak mezi lety 199</w:t>
      </w:r>
      <w:r w:rsidR="00BD0F40">
        <w:t>1 – 2015 klesl z původních 73 896</w:t>
      </w:r>
      <w:r>
        <w:t xml:space="preserve"> o 3 </w:t>
      </w:r>
      <w:r w:rsidR="00BD0F40">
        <w:t>956</w:t>
      </w:r>
      <w:r>
        <w:t xml:space="preserve"> na </w:t>
      </w:r>
      <w:r w:rsidR="00BD0F40" w:rsidRPr="00BD0F40">
        <w:t>69</w:t>
      </w:r>
      <w:r w:rsidR="00BD0F40">
        <w:t> </w:t>
      </w:r>
      <w:r w:rsidR="00BD0F40" w:rsidRPr="00BD0F40">
        <w:t>940</w:t>
      </w:r>
      <w:r w:rsidR="00BD0F40">
        <w:t xml:space="preserve"> </w:t>
      </w:r>
      <w:r>
        <w:t>obyvatel.</w:t>
      </w:r>
    </w:p>
    <w:p w:rsidR="00473F05" w:rsidRDefault="00473F05" w:rsidP="00473F05">
      <w:r w:rsidRPr="00606730">
        <w:t>Klesající tendenci obyvatel v posledních letech (2010 – 2015)</w:t>
      </w:r>
      <w:r w:rsidR="008B18B2">
        <w:t>,</w:t>
      </w:r>
      <w:r w:rsidRPr="00606730">
        <w:t xml:space="preserve"> poměrově vzhledem k počtu obyvatel</w:t>
      </w:r>
      <w:r w:rsidR="008B18B2">
        <w:t>,</w:t>
      </w:r>
      <w:r w:rsidRPr="00606730">
        <w:t xml:space="preserve"> pocítila nejvíce obec </w:t>
      </w:r>
      <w:r w:rsidR="008B3F8B" w:rsidRPr="00606730">
        <w:t>Malá Morava,</w:t>
      </w:r>
      <w:r w:rsidRPr="00606730">
        <w:t xml:space="preserve"> kde počet obyvatel klesl z původních </w:t>
      </w:r>
      <w:r w:rsidR="008B3F8B" w:rsidRPr="00606730">
        <w:t>575</w:t>
      </w:r>
      <w:r w:rsidRPr="00606730">
        <w:t xml:space="preserve"> na </w:t>
      </w:r>
      <w:r w:rsidR="008B3F8B" w:rsidRPr="00606730">
        <w:t>513</w:t>
      </w:r>
      <w:r w:rsidRPr="00606730">
        <w:t xml:space="preserve"> obyvatel, tj. </w:t>
      </w:r>
      <w:r w:rsidR="00AB2054">
        <w:t xml:space="preserve">o </w:t>
      </w:r>
      <w:r w:rsidR="008B3F8B" w:rsidRPr="00606730">
        <w:t xml:space="preserve">10,8 </w:t>
      </w:r>
      <w:r w:rsidRPr="00606730">
        <w:t xml:space="preserve">%. Naopak </w:t>
      </w:r>
      <w:r w:rsidR="001F5BC5">
        <w:t>opačný trend proti</w:t>
      </w:r>
      <w:r w:rsidRPr="00606730">
        <w:t xml:space="preserve"> celkovému vývoji počtu obyvatelstva v SO ORP </w:t>
      </w:r>
      <w:r w:rsidR="00150C22" w:rsidRPr="00606730">
        <w:t>Šumperk</w:t>
      </w:r>
      <w:r w:rsidRPr="00606730">
        <w:t xml:space="preserve"> </w:t>
      </w:r>
      <w:r w:rsidR="001F5BC5">
        <w:t>měla</w:t>
      </w:r>
      <w:r w:rsidRPr="00606730">
        <w:t xml:space="preserve"> obec </w:t>
      </w:r>
      <w:proofErr w:type="spellStart"/>
      <w:r w:rsidR="008B3F8B" w:rsidRPr="00606730">
        <w:t>Šlégov</w:t>
      </w:r>
      <w:proofErr w:type="spellEnd"/>
      <w:r w:rsidRPr="00606730">
        <w:t>, kde počet obyvatel me</w:t>
      </w:r>
      <w:r w:rsidR="0004067E" w:rsidRPr="00606730">
        <w:t xml:space="preserve">zi lety 2010 - 2015 vzrostl z 34 </w:t>
      </w:r>
      <w:r w:rsidRPr="00606730">
        <w:t xml:space="preserve">na </w:t>
      </w:r>
      <w:r w:rsidR="0004067E" w:rsidRPr="00606730">
        <w:t>43</w:t>
      </w:r>
      <w:r w:rsidRPr="00606730">
        <w:t xml:space="preserve"> obyvatel, což čin</w:t>
      </w:r>
      <w:r w:rsidR="008C56F4">
        <w:t>ilo přírůstek</w:t>
      </w:r>
      <w:r w:rsidRPr="00606730">
        <w:t xml:space="preserve"> </w:t>
      </w:r>
      <w:r w:rsidR="0004067E" w:rsidRPr="00606730">
        <w:t xml:space="preserve">26,5 </w:t>
      </w:r>
      <w:r w:rsidR="008C56F4">
        <w:t>%</w:t>
      </w:r>
      <w:r w:rsidRPr="00606730">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581CF8">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73 896</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172</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586D47" w:rsidP="0096640B">
            <w:pPr>
              <w:jc w:val="center"/>
              <w:rPr>
                <w:sz w:val="18"/>
                <w:szCs w:val="18"/>
              </w:rPr>
            </w:pPr>
            <w:r w:rsidRPr="0096640B">
              <w:rPr>
                <w:sz w:val="18"/>
                <w:szCs w:val="18"/>
              </w:rPr>
              <w:t>0,</w:t>
            </w:r>
            <w:r w:rsidR="00B600A2" w:rsidRPr="0096640B">
              <w:rPr>
                <w:sz w:val="18"/>
                <w:szCs w:val="18"/>
              </w:rPr>
              <w:t>23%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72 652</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-315</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43%</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73 980</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253</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586D47" w:rsidP="0096640B">
            <w:pPr>
              <w:jc w:val="center"/>
              <w:rPr>
                <w:sz w:val="18"/>
                <w:szCs w:val="18"/>
              </w:rPr>
            </w:pPr>
            <w:r w:rsidRPr="0096640B">
              <w:rPr>
                <w:sz w:val="18"/>
                <w:szCs w:val="18"/>
              </w:rPr>
              <w:t>0,</w:t>
            </w:r>
            <w:r w:rsidR="00B600A2" w:rsidRPr="0096640B">
              <w:rPr>
                <w:sz w:val="18"/>
                <w:szCs w:val="18"/>
              </w:rPr>
              <w:t>34%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72 403</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-249</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34%</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74 012</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32</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586D47" w:rsidP="0096640B">
            <w:pPr>
              <w:jc w:val="center"/>
              <w:rPr>
                <w:sz w:val="18"/>
                <w:szCs w:val="18"/>
              </w:rPr>
            </w:pPr>
            <w:r w:rsidRPr="0096640B">
              <w:rPr>
                <w:sz w:val="18"/>
                <w:szCs w:val="18"/>
              </w:rPr>
              <w:t>0,</w:t>
            </w:r>
            <w:r w:rsidR="00B600A2" w:rsidRPr="0096640B">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72 266</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-137</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19%</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74 082</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70</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586D47" w:rsidP="0096640B">
            <w:pPr>
              <w:jc w:val="center"/>
              <w:rPr>
                <w:sz w:val="18"/>
                <w:szCs w:val="18"/>
              </w:rPr>
            </w:pPr>
            <w:r w:rsidRPr="0096640B">
              <w:rPr>
                <w:sz w:val="18"/>
                <w:szCs w:val="18"/>
              </w:rPr>
              <w:t>0,</w:t>
            </w:r>
            <w:r w:rsidR="00B600A2" w:rsidRPr="0096640B">
              <w:rPr>
                <w:sz w:val="18"/>
                <w:szCs w:val="18"/>
              </w:rPr>
              <w:t>09%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72 182</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-84</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12%</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74 129</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47</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586D47" w:rsidP="0096640B">
            <w:pPr>
              <w:jc w:val="center"/>
              <w:rPr>
                <w:sz w:val="18"/>
                <w:szCs w:val="18"/>
              </w:rPr>
            </w:pPr>
            <w:r w:rsidRPr="0096640B">
              <w:rPr>
                <w:sz w:val="18"/>
                <w:szCs w:val="18"/>
              </w:rPr>
              <w:t>0,</w:t>
            </w:r>
            <w:r w:rsidR="00B600A2" w:rsidRPr="0096640B">
              <w:rPr>
                <w:sz w:val="18"/>
                <w:szCs w:val="18"/>
              </w:rPr>
              <w:t>06%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72 189</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586D47" w:rsidP="0096640B">
            <w:pPr>
              <w:jc w:val="center"/>
              <w:rPr>
                <w:sz w:val="18"/>
                <w:szCs w:val="18"/>
              </w:rPr>
            </w:pPr>
            <w:r w:rsidRPr="0096640B">
              <w:rPr>
                <w:sz w:val="18"/>
                <w:szCs w:val="18"/>
              </w:rPr>
              <w:t>0,</w:t>
            </w:r>
            <w:r w:rsidR="00B600A2" w:rsidRPr="0096640B">
              <w:rPr>
                <w:sz w:val="18"/>
                <w:szCs w:val="18"/>
              </w:rPr>
              <w:t>01%</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74 102</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-27</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72 087</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-111</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15%</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74 102</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0</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586D47" w:rsidP="0096640B">
            <w:pPr>
              <w:jc w:val="center"/>
              <w:rPr>
                <w:sz w:val="18"/>
                <w:szCs w:val="18"/>
              </w:rPr>
            </w:pPr>
            <w:r w:rsidRPr="0096640B">
              <w:rPr>
                <w:sz w:val="18"/>
                <w:szCs w:val="18"/>
              </w:rPr>
              <w:t>0,</w:t>
            </w:r>
            <w:r w:rsidR="00B600A2" w:rsidRPr="0096640B">
              <w:rPr>
                <w:sz w:val="18"/>
                <w:szCs w:val="18"/>
              </w:rPr>
              <w:t>00%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71 857</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-221</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31%</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74 071</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-31</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71 109</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-245</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34%</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73 876</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-195</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26%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70 838</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-271</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38%</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73 714</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-162</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22%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70 621</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-217</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31%</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73 390</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-215</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29%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70 288</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-333</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47%</w:t>
            </w:r>
          </w:p>
        </w:tc>
      </w:tr>
      <w:tr w:rsidR="00B600A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73 131</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-259</w:t>
            </w:r>
          </w:p>
        </w:tc>
        <w:tc>
          <w:tcPr>
            <w:tcW w:w="727"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35%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B600A2" w:rsidRPr="0096640B" w:rsidRDefault="00B600A2" w:rsidP="0096640B">
            <w:pPr>
              <w:pStyle w:val="Bezmezer"/>
              <w:jc w:val="center"/>
              <w:rPr>
                <w:b/>
                <w:sz w:val="18"/>
                <w:szCs w:val="18"/>
              </w:rPr>
            </w:pPr>
            <w:r w:rsidRPr="0096640B">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69 940</w:t>
            </w:r>
          </w:p>
        </w:tc>
        <w:tc>
          <w:tcPr>
            <w:tcW w:w="727" w:type="pct"/>
            <w:tcBorders>
              <w:top w:val="single" w:sz="6" w:space="0" w:color="auto"/>
              <w:left w:val="single" w:sz="6" w:space="0" w:color="auto"/>
              <w:bottom w:val="single" w:sz="6" w:space="0" w:color="auto"/>
              <w:right w:val="single" w:sz="6" w:space="0" w:color="auto"/>
            </w:tcBorders>
            <w:vAlign w:val="center"/>
          </w:tcPr>
          <w:p w:rsidR="00B600A2" w:rsidRPr="0096640B" w:rsidRDefault="00B600A2" w:rsidP="0096640B">
            <w:pPr>
              <w:jc w:val="center"/>
              <w:rPr>
                <w:sz w:val="18"/>
                <w:szCs w:val="18"/>
              </w:rPr>
            </w:pPr>
            <w:r w:rsidRPr="0096640B">
              <w:rPr>
                <w:sz w:val="18"/>
                <w:szCs w:val="18"/>
              </w:rPr>
              <w:t>-348</w:t>
            </w:r>
          </w:p>
        </w:tc>
        <w:tc>
          <w:tcPr>
            <w:tcW w:w="722" w:type="pct"/>
            <w:tcBorders>
              <w:top w:val="single" w:sz="6" w:space="0" w:color="auto"/>
              <w:left w:val="single" w:sz="6" w:space="0" w:color="auto"/>
              <w:bottom w:val="single" w:sz="6" w:space="0" w:color="auto"/>
              <w:right w:val="double" w:sz="4" w:space="0" w:color="auto"/>
            </w:tcBorders>
            <w:vAlign w:val="center"/>
          </w:tcPr>
          <w:p w:rsidR="00B600A2" w:rsidRPr="0096640B" w:rsidRDefault="00B600A2" w:rsidP="0096640B">
            <w:pPr>
              <w:jc w:val="center"/>
              <w:rPr>
                <w:sz w:val="18"/>
                <w:szCs w:val="18"/>
              </w:rPr>
            </w:pPr>
            <w:r w:rsidRPr="0096640B">
              <w:rPr>
                <w:sz w:val="18"/>
                <w:szCs w:val="18"/>
              </w:rPr>
              <w:t>-</w:t>
            </w:r>
            <w:r w:rsidR="00586D47" w:rsidRPr="0096640B">
              <w:rPr>
                <w:sz w:val="18"/>
                <w:szCs w:val="18"/>
              </w:rPr>
              <w:t>0,</w:t>
            </w:r>
            <w:r w:rsidRPr="0096640B">
              <w:rPr>
                <w:sz w:val="18"/>
                <w:szCs w:val="18"/>
              </w:rPr>
              <w:t>50%</w:t>
            </w:r>
          </w:p>
        </w:tc>
      </w:tr>
      <w:tr w:rsidR="00315475" w:rsidRPr="00BE4E54" w:rsidTr="0096640B">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315475" w:rsidRPr="0096640B" w:rsidRDefault="00315475" w:rsidP="0096640B">
            <w:pPr>
              <w:pStyle w:val="Bezmezer"/>
              <w:jc w:val="center"/>
              <w:rPr>
                <w:b/>
                <w:sz w:val="18"/>
                <w:szCs w:val="18"/>
              </w:rPr>
            </w:pPr>
            <w:r w:rsidRPr="0096640B">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315475" w:rsidRPr="0096640B" w:rsidRDefault="00315475" w:rsidP="0096640B">
            <w:pPr>
              <w:jc w:val="center"/>
              <w:rPr>
                <w:sz w:val="18"/>
                <w:szCs w:val="18"/>
              </w:rPr>
            </w:pPr>
            <w:r w:rsidRPr="0096640B">
              <w:rPr>
                <w:sz w:val="18"/>
                <w:szCs w:val="18"/>
              </w:rPr>
              <w:t>72 967</w:t>
            </w:r>
          </w:p>
        </w:tc>
        <w:tc>
          <w:tcPr>
            <w:tcW w:w="727" w:type="pct"/>
            <w:tcBorders>
              <w:top w:val="single" w:sz="6" w:space="0" w:color="auto"/>
              <w:left w:val="single" w:sz="6" w:space="0" w:color="auto"/>
              <w:bottom w:val="double" w:sz="4" w:space="0" w:color="auto"/>
              <w:right w:val="single" w:sz="6" w:space="0" w:color="auto"/>
            </w:tcBorders>
            <w:vAlign w:val="center"/>
          </w:tcPr>
          <w:p w:rsidR="00315475" w:rsidRPr="0096640B" w:rsidRDefault="00315475" w:rsidP="0096640B">
            <w:pPr>
              <w:jc w:val="center"/>
              <w:rPr>
                <w:sz w:val="18"/>
                <w:szCs w:val="18"/>
              </w:rPr>
            </w:pPr>
            <w:r w:rsidRPr="0096640B">
              <w:rPr>
                <w:sz w:val="18"/>
                <w:szCs w:val="18"/>
              </w:rPr>
              <w:t>-164</w:t>
            </w:r>
          </w:p>
        </w:tc>
        <w:tc>
          <w:tcPr>
            <w:tcW w:w="727" w:type="pct"/>
            <w:tcBorders>
              <w:top w:val="single" w:sz="6" w:space="0" w:color="auto"/>
              <w:left w:val="single" w:sz="6" w:space="0" w:color="auto"/>
              <w:bottom w:val="double" w:sz="4" w:space="0" w:color="auto"/>
              <w:right w:val="double" w:sz="4" w:space="0" w:color="auto"/>
            </w:tcBorders>
            <w:vAlign w:val="center"/>
          </w:tcPr>
          <w:p w:rsidR="00315475" w:rsidRPr="0096640B" w:rsidRDefault="00315475" w:rsidP="0096640B">
            <w:pPr>
              <w:jc w:val="center"/>
              <w:rPr>
                <w:sz w:val="18"/>
                <w:szCs w:val="18"/>
              </w:rPr>
            </w:pPr>
            <w:r w:rsidRPr="0096640B">
              <w:rPr>
                <w:sz w:val="18"/>
                <w:szCs w:val="18"/>
              </w:rPr>
              <w:t>-</w:t>
            </w:r>
            <w:r w:rsidR="00586D47" w:rsidRPr="0096640B">
              <w:rPr>
                <w:sz w:val="18"/>
                <w:szCs w:val="18"/>
              </w:rPr>
              <w:t>0,</w:t>
            </w:r>
            <w:r w:rsidRPr="0096640B">
              <w:rPr>
                <w:sz w:val="18"/>
                <w:szCs w:val="18"/>
              </w:rPr>
              <w:t>22%</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315475" w:rsidRPr="0096640B" w:rsidRDefault="00315475" w:rsidP="0096640B">
            <w:pPr>
              <w:pStyle w:val="Bezmezer"/>
              <w:keepNext/>
              <w:jc w:val="center"/>
              <w:rPr>
                <w:sz w:val="18"/>
                <w:szCs w:val="18"/>
              </w:rPr>
            </w:pPr>
          </w:p>
        </w:tc>
      </w:tr>
    </w:tbl>
    <w:p w:rsidR="002D5D71" w:rsidRDefault="002D5D71" w:rsidP="00D4363C">
      <w:pPr>
        <w:pStyle w:val="Tabulka"/>
      </w:pPr>
      <w:bookmarkStart w:id="16" w:name="_Toc469908881"/>
      <w:r>
        <w:t xml:space="preserve">Tab. </w:t>
      </w:r>
      <w:r w:rsidR="005D1BD9">
        <w:fldChar w:fldCharType="begin"/>
      </w:r>
      <w:r w:rsidR="005D1BD9">
        <w:instrText xml:space="preserve"> SEQ Tab. \* ARABIC </w:instrText>
      </w:r>
      <w:r w:rsidR="005D1BD9">
        <w:fldChar w:fldCharType="separate"/>
      </w:r>
      <w:r w:rsidR="003A35BB">
        <w:rPr>
          <w:noProof/>
        </w:rPr>
        <w:t>7</w:t>
      </w:r>
      <w:r w:rsidR="005D1BD9">
        <w:rPr>
          <w:noProof/>
        </w:rPr>
        <w:fldChar w:fldCharType="end"/>
      </w:r>
      <w:r w:rsidR="001E21CC">
        <w:rPr>
          <w:noProof/>
        </w:rPr>
        <w:t xml:space="preserve"> Vývoj počtu obyvatel SO ORP Šumperk mezi lety 1991 – 2015</w:t>
      </w:r>
      <w:bookmarkEnd w:id="16"/>
    </w:p>
    <w:p w:rsidR="00315475" w:rsidRPr="00B7395F" w:rsidRDefault="00315475" w:rsidP="00315475">
      <w:r w:rsidRPr="00B7395F">
        <w:t xml:space="preserve">Počet zemřelých v SO ORP </w:t>
      </w:r>
      <w:r w:rsidR="00A07770" w:rsidRPr="00B7395F">
        <w:t>Šumperk</w:t>
      </w:r>
      <w:r w:rsidRPr="00B7395F">
        <w:t xml:space="preserve"> poprvé překonal počet živě narozených v roce 199</w:t>
      </w:r>
      <w:r w:rsidR="00A07770" w:rsidRPr="00B7395F">
        <w:t>5</w:t>
      </w:r>
      <w:r w:rsidRPr="00B7395F">
        <w:t xml:space="preserve"> (</w:t>
      </w:r>
      <w:r w:rsidR="00A07770" w:rsidRPr="00B7395F">
        <w:t>710</w:t>
      </w:r>
      <w:r w:rsidRPr="00B7395F">
        <w:t xml:space="preserve"> živě narozených, </w:t>
      </w:r>
      <w:r w:rsidR="00A07770" w:rsidRPr="00B7395F">
        <w:t>774</w:t>
      </w:r>
      <w:r w:rsidRPr="00B7395F">
        <w:t xml:space="preserve"> zemřelých) od té doby, s výjimkou let 200</w:t>
      </w:r>
      <w:r w:rsidR="00A07770" w:rsidRPr="00B7395F">
        <w:t>8</w:t>
      </w:r>
      <w:r w:rsidRPr="00B7395F">
        <w:t xml:space="preserve"> a 2009 (</w:t>
      </w:r>
      <w:r w:rsidR="006C0E86" w:rsidRPr="00B7395F">
        <w:t>765</w:t>
      </w:r>
      <w:r w:rsidRPr="00B7395F">
        <w:t xml:space="preserve"> a </w:t>
      </w:r>
      <w:r w:rsidR="006C0E86" w:rsidRPr="00B7395F">
        <w:t>764</w:t>
      </w:r>
      <w:r w:rsidRPr="00B7395F">
        <w:t xml:space="preserve"> živě narozených, </w:t>
      </w:r>
      <w:r w:rsidR="006C0E86" w:rsidRPr="00B7395F">
        <w:t>707</w:t>
      </w:r>
      <w:r w:rsidRPr="00B7395F">
        <w:t xml:space="preserve"> a </w:t>
      </w:r>
      <w:r w:rsidR="006C0E86" w:rsidRPr="00B7395F">
        <w:t>736</w:t>
      </w:r>
      <w:r w:rsidRPr="00B7395F">
        <w:t xml:space="preserve"> zemřelých), tento trend </w:t>
      </w:r>
      <w:r w:rsidR="00B062E0">
        <w:t>pokračoval</w:t>
      </w:r>
      <w:r w:rsidRPr="00B7395F">
        <w:t>. Zatím co roční počet úmrtí m</w:t>
      </w:r>
      <w:r w:rsidR="00B062E0">
        <w:t>ěl</w:t>
      </w:r>
      <w:r w:rsidRPr="00B7395F">
        <w:t xml:space="preserve"> převážně stagnující tendenci, počet živě narozených mírně </w:t>
      </w:r>
      <w:r w:rsidR="00B062E0">
        <w:t>klesal</w:t>
      </w:r>
      <w:r w:rsidRPr="00B7395F">
        <w:t>.</w:t>
      </w:r>
    </w:p>
    <w:p w:rsidR="00315475" w:rsidRDefault="00315475" w:rsidP="00315475">
      <w:r w:rsidRPr="00425ADD">
        <w:lastRenderedPageBreak/>
        <w:t>Z hlediska přírůstku obyvatel stěhováním docház</w:t>
      </w:r>
      <w:r w:rsidR="00B062E0">
        <w:t>elo</w:t>
      </w:r>
      <w:r w:rsidRPr="00425ADD">
        <w:t xml:space="preserve"> v rám</w:t>
      </w:r>
      <w:r w:rsidR="002C7431" w:rsidRPr="00425ADD">
        <w:t>ci SO ORP</w:t>
      </w:r>
      <w:r w:rsidR="00EB1447">
        <w:t xml:space="preserve"> Šumperk</w:t>
      </w:r>
      <w:r w:rsidR="002C7431" w:rsidRPr="00425ADD">
        <w:t xml:space="preserve"> k dlouhodobému úbytku. Zatím co v devadesátých letech docházelo </w:t>
      </w:r>
      <w:r w:rsidR="00EB5BBB" w:rsidRPr="00425ADD">
        <w:t xml:space="preserve">ke střídání úbytku a nárůstů stěhováním mezi </w:t>
      </w:r>
      <w:r w:rsidR="002A5D70" w:rsidRPr="00425ADD">
        <w:t>0,24 % u úbytku po 0,15 % u přírůstku</w:t>
      </w:r>
      <w:r w:rsidR="0006328C" w:rsidRPr="00425ADD">
        <w:t>.</w:t>
      </w:r>
      <w:r w:rsidR="002C7431" w:rsidRPr="00425ADD">
        <w:t xml:space="preserve"> </w:t>
      </w:r>
      <w:r w:rsidR="0006328C" w:rsidRPr="00425ADD">
        <w:t>Od roku 2000</w:t>
      </w:r>
      <w:r w:rsidRPr="00425ADD">
        <w:t xml:space="preserve"> meziroční úbytek stěhováním rost</w:t>
      </w:r>
      <w:r w:rsidR="00B062E0">
        <w:t>l</w:t>
      </w:r>
      <w:r w:rsidR="0006328C" w:rsidRPr="00425ADD">
        <w:t>.</w:t>
      </w:r>
      <w:r w:rsidRPr="00425ADD">
        <w:t xml:space="preserve"> </w:t>
      </w:r>
      <w:r w:rsidR="0006328C" w:rsidRPr="00425ADD">
        <w:t>Nejvíce dosahoval 0,42 % v roce 2004.</w:t>
      </w:r>
    </w:p>
    <w:p w:rsidR="00AD6B94" w:rsidRDefault="00942E4E" w:rsidP="00AD6B94">
      <w:pPr>
        <w:keepNext/>
      </w:pPr>
      <w:r>
        <w:rPr>
          <w:noProof/>
          <w:lang w:eastAsia="cs-CZ"/>
        </w:rPr>
        <w:drawing>
          <wp:inline distT="0" distB="0" distL="0" distR="0" wp14:anchorId="1A981CA4" wp14:editId="588F6D6F">
            <wp:extent cx="5760720" cy="3683897"/>
            <wp:effectExtent l="0" t="0" r="11430" b="1206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6900" w:rsidRDefault="00AD6B94" w:rsidP="00D4363C">
      <w:pPr>
        <w:pStyle w:val="Tabulka"/>
      </w:pPr>
      <w:bookmarkStart w:id="17" w:name="_Toc469908863"/>
      <w:r>
        <w:t xml:space="preserve">Graf </w:t>
      </w:r>
      <w:r w:rsidR="005D1BD9">
        <w:fldChar w:fldCharType="begin"/>
      </w:r>
      <w:r w:rsidR="005D1BD9">
        <w:instrText xml:space="preserve"> SEQ Graf \*</w:instrText>
      </w:r>
      <w:r w:rsidR="005D1BD9">
        <w:instrText xml:space="preserve"> ARABIC </w:instrText>
      </w:r>
      <w:r w:rsidR="005D1BD9">
        <w:fldChar w:fldCharType="separate"/>
      </w:r>
      <w:r w:rsidR="003A35BB">
        <w:rPr>
          <w:noProof/>
        </w:rPr>
        <w:t>4</w:t>
      </w:r>
      <w:r w:rsidR="005D1BD9">
        <w:rPr>
          <w:noProof/>
        </w:rPr>
        <w:fldChar w:fldCharType="end"/>
      </w:r>
      <w:r w:rsidR="0074624D">
        <w:rPr>
          <w:noProof/>
        </w:rPr>
        <w:t xml:space="preserve"> Vývoj a předpokládaný vývoj počtu obyvatel SO ORP Šumperk v letech 1991 – 2050</w:t>
      </w:r>
      <w:bookmarkEnd w:id="17"/>
    </w:p>
    <w:p w:rsidR="00315475" w:rsidRDefault="00315475" w:rsidP="00315475">
      <w:r w:rsidRPr="00425ADD">
        <w:t>Vý</w:t>
      </w:r>
      <w:r w:rsidR="002D09A7">
        <w:t xml:space="preserve">hled počtu obyvatel </w:t>
      </w:r>
      <w:r w:rsidR="00B062E0">
        <w:t xml:space="preserve">SO ORP Šumperk </w:t>
      </w:r>
      <w:r w:rsidR="002D09A7">
        <w:t xml:space="preserve">předpokládá </w:t>
      </w:r>
      <w:r w:rsidRPr="00425ADD">
        <w:t xml:space="preserve">v pokračujícím trendu úbytku počtu </w:t>
      </w:r>
      <w:proofErr w:type="gramStart"/>
      <w:r w:rsidRPr="00425ADD">
        <w:t>obyvatel</w:t>
      </w:r>
      <w:r w:rsidR="0088796F">
        <w:t xml:space="preserve"> </w:t>
      </w:r>
      <w:r w:rsidR="00B062E0">
        <w:t>j</w:t>
      </w:r>
      <w:r w:rsidR="0088796F">
        <w:t>a</w:t>
      </w:r>
      <w:r w:rsidR="00B062E0">
        <w:t>k</w:t>
      </w:r>
      <w:proofErr w:type="gramEnd"/>
      <w:r w:rsidR="0088796F">
        <w:t xml:space="preserve"> </w:t>
      </w:r>
      <w:r w:rsidR="007C3E32">
        <w:t>zobrazuje</w:t>
      </w:r>
      <w:r w:rsidR="00B062E0">
        <w:t xml:space="preserve"> </w:t>
      </w:r>
      <w:r w:rsidR="0088796F" w:rsidRPr="0088796F">
        <w:rPr>
          <w:i/>
        </w:rPr>
        <w:t>Graf 4 Vývoj a předpokládaný vývoj počtu obyvatel SO ORP Šumperk v letech 1991 – 2050</w:t>
      </w:r>
      <w:r w:rsidR="0088796F">
        <w:t xml:space="preserve"> a </w:t>
      </w:r>
      <w:r w:rsidR="0088796F" w:rsidRPr="0088796F">
        <w:rPr>
          <w:i/>
        </w:rPr>
        <w:t>Tab. 8 Předpokládaný vývoj počtu obyvatel SO ORP Šumperk do roku 2050</w:t>
      </w:r>
      <w:r w:rsidRPr="00425ADD">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1A4178" w:rsidTr="00450147">
        <w:tc>
          <w:tcPr>
            <w:tcW w:w="1000" w:type="pct"/>
            <w:tcBorders>
              <w:left w:val="double" w:sz="4" w:space="0" w:color="auto"/>
              <w:bottom w:val="double" w:sz="4" w:space="0" w:color="auto"/>
            </w:tcBorders>
            <w:shd w:val="clear" w:color="auto" w:fill="BCD9DE" w:themeFill="accent5" w:themeFillTint="66"/>
            <w:vAlign w:val="center"/>
          </w:tcPr>
          <w:p w:rsidR="001A4178" w:rsidRPr="004E092F" w:rsidRDefault="001A4178" w:rsidP="008E7C52">
            <w:pPr>
              <w:pStyle w:val="Bezmezer"/>
              <w:jc w:val="center"/>
              <w:rPr>
                <w:b/>
                <w:sz w:val="18"/>
              </w:rPr>
            </w:pPr>
            <w:r w:rsidRPr="004E092F">
              <w:rPr>
                <w:b/>
                <w:sz w:val="18"/>
              </w:rPr>
              <w:t>POČET OBYVATEL</w:t>
            </w:r>
          </w:p>
        </w:tc>
        <w:tc>
          <w:tcPr>
            <w:tcW w:w="1000" w:type="pct"/>
            <w:tcBorders>
              <w:bottom w:val="double" w:sz="4" w:space="0" w:color="auto"/>
            </w:tcBorders>
            <w:vAlign w:val="center"/>
          </w:tcPr>
          <w:p w:rsidR="001A4178" w:rsidRPr="00450147" w:rsidRDefault="001A4178" w:rsidP="00450147">
            <w:pPr>
              <w:jc w:val="center"/>
              <w:rPr>
                <w:sz w:val="18"/>
              </w:rPr>
            </w:pPr>
            <w:r w:rsidRPr="00450147">
              <w:rPr>
                <w:sz w:val="18"/>
              </w:rPr>
              <w:t>69</w:t>
            </w:r>
            <w:r w:rsidR="00EB3965" w:rsidRPr="00450147">
              <w:rPr>
                <w:sz w:val="18"/>
              </w:rPr>
              <w:t xml:space="preserve"> </w:t>
            </w:r>
            <w:r w:rsidRPr="00450147">
              <w:rPr>
                <w:sz w:val="18"/>
              </w:rPr>
              <w:t>283</w:t>
            </w:r>
          </w:p>
        </w:tc>
        <w:tc>
          <w:tcPr>
            <w:tcW w:w="1000" w:type="pct"/>
            <w:tcBorders>
              <w:bottom w:val="double" w:sz="4" w:space="0" w:color="auto"/>
            </w:tcBorders>
            <w:vAlign w:val="center"/>
          </w:tcPr>
          <w:p w:rsidR="001A4178" w:rsidRPr="00450147" w:rsidRDefault="001A4178" w:rsidP="00450147">
            <w:pPr>
              <w:jc w:val="center"/>
              <w:rPr>
                <w:sz w:val="18"/>
              </w:rPr>
            </w:pPr>
            <w:r w:rsidRPr="00450147">
              <w:rPr>
                <w:sz w:val="18"/>
              </w:rPr>
              <w:t>68</w:t>
            </w:r>
            <w:r w:rsidR="00EB3965" w:rsidRPr="00450147">
              <w:rPr>
                <w:sz w:val="18"/>
              </w:rPr>
              <w:t xml:space="preserve"> </w:t>
            </w:r>
            <w:r w:rsidRPr="00450147">
              <w:rPr>
                <w:sz w:val="18"/>
              </w:rPr>
              <w:t>534</w:t>
            </w:r>
          </w:p>
        </w:tc>
        <w:tc>
          <w:tcPr>
            <w:tcW w:w="1000" w:type="pct"/>
            <w:tcBorders>
              <w:bottom w:val="double" w:sz="4" w:space="0" w:color="auto"/>
            </w:tcBorders>
            <w:vAlign w:val="center"/>
          </w:tcPr>
          <w:p w:rsidR="001A4178" w:rsidRPr="00450147" w:rsidRDefault="001A4178" w:rsidP="00450147">
            <w:pPr>
              <w:jc w:val="center"/>
              <w:rPr>
                <w:sz w:val="18"/>
              </w:rPr>
            </w:pPr>
            <w:r w:rsidRPr="00450147">
              <w:rPr>
                <w:sz w:val="18"/>
              </w:rPr>
              <w:t>67</w:t>
            </w:r>
            <w:r w:rsidR="00EB3965" w:rsidRPr="00450147">
              <w:rPr>
                <w:sz w:val="18"/>
              </w:rPr>
              <w:t xml:space="preserve"> </w:t>
            </w:r>
            <w:r w:rsidRPr="00450147">
              <w:rPr>
                <w:sz w:val="18"/>
              </w:rPr>
              <w:t>845</w:t>
            </w:r>
          </w:p>
        </w:tc>
        <w:tc>
          <w:tcPr>
            <w:tcW w:w="1000" w:type="pct"/>
            <w:tcBorders>
              <w:bottom w:val="double" w:sz="4" w:space="0" w:color="auto"/>
              <w:right w:val="double" w:sz="4" w:space="0" w:color="auto"/>
            </w:tcBorders>
            <w:vAlign w:val="center"/>
          </w:tcPr>
          <w:p w:rsidR="001A4178" w:rsidRPr="00450147" w:rsidRDefault="001A4178" w:rsidP="002D5D71">
            <w:pPr>
              <w:keepNext/>
              <w:jc w:val="center"/>
              <w:rPr>
                <w:sz w:val="18"/>
              </w:rPr>
            </w:pPr>
            <w:r w:rsidRPr="00450147">
              <w:rPr>
                <w:sz w:val="18"/>
              </w:rPr>
              <w:t>65</w:t>
            </w:r>
            <w:r w:rsidR="00EB3965" w:rsidRPr="00450147">
              <w:rPr>
                <w:sz w:val="18"/>
              </w:rPr>
              <w:t xml:space="preserve"> </w:t>
            </w:r>
            <w:r w:rsidRPr="00450147">
              <w:rPr>
                <w:sz w:val="18"/>
              </w:rPr>
              <w:t>430</w:t>
            </w:r>
          </w:p>
        </w:tc>
      </w:tr>
    </w:tbl>
    <w:p w:rsidR="002D5D71" w:rsidRDefault="002D5D71" w:rsidP="00D4363C">
      <w:pPr>
        <w:pStyle w:val="Tabulka"/>
        <w:rPr>
          <w:noProof/>
        </w:rPr>
      </w:pPr>
      <w:bookmarkStart w:id="18" w:name="_Toc469908882"/>
      <w:r>
        <w:t xml:space="preserve">Tab. </w:t>
      </w:r>
      <w:r w:rsidR="005D1BD9">
        <w:fldChar w:fldCharType="begin"/>
      </w:r>
      <w:r w:rsidR="005D1BD9">
        <w:instrText xml:space="preserve"> SEQ Tab. \* ARABIC </w:instrText>
      </w:r>
      <w:r w:rsidR="005D1BD9">
        <w:fldChar w:fldCharType="separate"/>
      </w:r>
      <w:r w:rsidR="003A35BB">
        <w:rPr>
          <w:noProof/>
        </w:rPr>
        <w:t>8</w:t>
      </w:r>
      <w:r w:rsidR="005D1BD9">
        <w:rPr>
          <w:noProof/>
        </w:rPr>
        <w:fldChar w:fldCharType="end"/>
      </w:r>
      <w:r w:rsidR="004D62E0">
        <w:rPr>
          <w:noProof/>
        </w:rPr>
        <w:t xml:space="preserve"> Předpokládaný vývoj počtu obyvatel SO ORP Šumperk do roku 2050</w:t>
      </w:r>
      <w:bookmarkEnd w:id="18"/>
    </w:p>
    <w:p w:rsidR="00D4363C" w:rsidRDefault="00D4363C" w:rsidP="00D4363C"/>
    <w:p w:rsidR="00D4363C" w:rsidRDefault="00D4363C">
      <w:pPr>
        <w:spacing w:before="0" w:after="0"/>
        <w:jc w:val="left"/>
      </w:pPr>
      <w:r>
        <w:br w:type="page"/>
      </w:r>
    </w:p>
    <w:p w:rsidR="00893EB7" w:rsidRDefault="00893EB7" w:rsidP="009F6DE2">
      <w:pPr>
        <w:pStyle w:val="Nadpis2"/>
      </w:pPr>
      <w:bookmarkStart w:id="19" w:name="_Toc469989348"/>
      <w:r w:rsidRPr="00F52857">
        <w:lastRenderedPageBreak/>
        <w:t>SO ORP Zábřeh</w:t>
      </w:r>
      <w:bookmarkEnd w:id="19"/>
    </w:p>
    <w:p w:rsidR="00473F05" w:rsidRDefault="00473F05" w:rsidP="00473F05">
      <w:r w:rsidRPr="007E3A45">
        <w:t xml:space="preserve">SO ORP </w:t>
      </w:r>
      <w:r w:rsidR="003F2640">
        <w:t xml:space="preserve">Zábřeh </w:t>
      </w:r>
      <w:r w:rsidRPr="007E3A45">
        <w:t>se nachází v</w:t>
      </w:r>
      <w:r w:rsidR="003F2640">
        <w:t> severozápadní části</w:t>
      </w:r>
      <w:r w:rsidRPr="007E3A45">
        <w:t xml:space="preserve"> Olomouckého kraje.</w:t>
      </w:r>
      <w:r>
        <w:t xml:space="preserve"> Na </w:t>
      </w:r>
      <w:r w:rsidR="003F2640">
        <w:t xml:space="preserve">jihu sousedí </w:t>
      </w:r>
      <w:r>
        <w:t xml:space="preserve">s SO ORP </w:t>
      </w:r>
      <w:r w:rsidR="00B858B8">
        <w:t>Mohelnice,</w:t>
      </w:r>
      <w:r w:rsidR="003F2640">
        <w:t xml:space="preserve"> na severu s SO ORP Šumperk</w:t>
      </w:r>
      <w:r w:rsidR="00B858B8">
        <w:t xml:space="preserve"> a na východě s SO ORP Uničov</w:t>
      </w:r>
      <w:r>
        <w:t>.</w:t>
      </w:r>
      <w:r w:rsidRPr="007E3A45">
        <w:t xml:space="preserve"> </w:t>
      </w:r>
      <w:r w:rsidR="003F2640">
        <w:t>Západně sousedí s Pardubickým krajem</w:t>
      </w:r>
      <w:r>
        <w:t xml:space="preserve">. SO ORP </w:t>
      </w:r>
      <w:r w:rsidR="003F2640">
        <w:t>Zábřeh</w:t>
      </w:r>
      <w:r>
        <w:t xml:space="preserve"> zahrnuje </w:t>
      </w:r>
      <w:r w:rsidR="003F2640">
        <w:t>28</w:t>
      </w:r>
      <w:r w:rsidRPr="00F1188E">
        <w:t xml:space="preserve"> obcí -</w:t>
      </w:r>
      <w:r>
        <w:t xml:space="preserve"> </w:t>
      </w:r>
      <w:r w:rsidR="003F2640" w:rsidRPr="003F2640">
        <w:t>Bohuslavice, Brníčko, Drozdov, Dubicko, Horní Studénky, Hoštejn, Hrabová, Hynčina, Jedlí, Jestřebí, Kamenná, Kolšov, Kosov, Lesnice, Leština, Lukavice, Nemile, Postřelmov, Postřelmůvek, Rájec, Rohle, Rovensko, Svébohov, Štíty, Vyšehoří, Zábřeh, Zborov</w:t>
      </w:r>
      <w:r w:rsidR="003F2640">
        <w:t xml:space="preserve"> a</w:t>
      </w:r>
      <w:r w:rsidR="003F2640" w:rsidRPr="003F2640">
        <w:t xml:space="preserve"> Zvole</w:t>
      </w:r>
      <w:r w:rsidR="003F2640">
        <w:t>.</w:t>
      </w:r>
      <w:r>
        <w:t xml:space="preserve"> </w:t>
      </w:r>
      <w:r w:rsidR="00696FDA">
        <w:t xml:space="preserve">Obcí s největším počtem obyvatel k 31. 12. 2015 bylo město </w:t>
      </w:r>
      <w:r w:rsidR="00F74E3E">
        <w:t>Zábřeh</w:t>
      </w:r>
      <w:r w:rsidR="00696FDA">
        <w:t xml:space="preserve"> s</w:t>
      </w:r>
      <w:r w:rsidR="00F74E3E">
        <w:t> 13 792</w:t>
      </w:r>
      <w:r w:rsidR="00696FDA">
        <w:t xml:space="preserve"> obyvateli, nejmenší pak byl</w:t>
      </w:r>
      <w:r w:rsidR="00F74E3E">
        <w:t>a</w:t>
      </w:r>
      <w:r w:rsidR="00696FDA">
        <w:t xml:space="preserve"> obce </w:t>
      </w:r>
      <w:r w:rsidR="00F74E3E">
        <w:t>Hynčina</w:t>
      </w:r>
      <w:r w:rsidR="00696FDA">
        <w:t>, kter</w:t>
      </w:r>
      <w:r w:rsidR="00F74E3E">
        <w:t>á</w:t>
      </w:r>
      <w:r w:rsidR="00696FDA">
        <w:t xml:space="preserve"> měl</w:t>
      </w:r>
      <w:r w:rsidR="00F74E3E">
        <w:t>a</w:t>
      </w:r>
      <w:r w:rsidR="00696FDA">
        <w:t xml:space="preserve"> k 31. 12. 2015 </w:t>
      </w:r>
      <w:r w:rsidR="00F74E3E">
        <w:t>206</w:t>
      </w:r>
      <w:r w:rsidR="00696FDA">
        <w:t xml:space="preserve"> evidovaných obyvatel.</w:t>
      </w:r>
    </w:p>
    <w:p w:rsidR="00473F05" w:rsidRDefault="00473F05" w:rsidP="00473F05">
      <w:r>
        <w:t xml:space="preserve">K 31. 12. 2015 bylo v SO ORP </w:t>
      </w:r>
      <w:r w:rsidR="00C95FF9">
        <w:t>Zábřeh</w:t>
      </w:r>
      <w:r>
        <w:t xml:space="preserve"> evidováno </w:t>
      </w:r>
      <w:r w:rsidR="00C95FF9">
        <w:t>33 452</w:t>
      </w:r>
      <w:r>
        <w:t xml:space="preserve"> obyvatel, což tvořilo </w:t>
      </w:r>
      <w:r w:rsidR="00190C21">
        <w:t>5,3 % z celkového</w:t>
      </w:r>
      <w:r>
        <w:t xml:space="preserve"> počtu obyvatel Olomouckého kraje. Vývoj počtu obyvatel měl v SO ORP </w:t>
      </w:r>
      <w:r w:rsidR="00190C21">
        <w:t>Zábřeh</w:t>
      </w:r>
      <w:r>
        <w:t xml:space="preserve"> měl mezi lety 1991 – 2015 </w:t>
      </w:r>
      <w:r w:rsidR="00190C21">
        <w:t>vyrovnanou</w:t>
      </w:r>
      <w:r>
        <w:t xml:space="preserve"> tendenc</w:t>
      </w:r>
      <w:r w:rsidR="00190C21">
        <w:t>i</w:t>
      </w:r>
      <w:r>
        <w:t xml:space="preserve">. </w:t>
      </w:r>
      <w:r w:rsidR="00D90221" w:rsidRPr="00D90221">
        <w:t>V první polovině 9</w:t>
      </w:r>
      <w:r w:rsidR="00586D47">
        <w:t>0,</w:t>
      </w:r>
      <w:r w:rsidR="00D90221" w:rsidRPr="00D90221">
        <w:t xml:space="preserve"> let měl vývoj počtu obyvatel mírně vzrůstající t</w:t>
      </w:r>
      <w:r w:rsidR="00D90221">
        <w:t>endenci. Zlom nastal v roce 1995</w:t>
      </w:r>
      <w:r w:rsidR="00D90221" w:rsidRPr="00D90221">
        <w:t>, kdy začal p</w:t>
      </w:r>
      <w:r w:rsidR="00D90221">
        <w:t xml:space="preserve">očet obyvatel klesat. </w:t>
      </w:r>
      <w:r w:rsidR="00190C21">
        <w:t>Mezi lety 1991 – 1995</w:t>
      </w:r>
      <w:r>
        <w:t xml:space="preserve"> rostl počet obyvatel meziročně o 0,1</w:t>
      </w:r>
      <w:r w:rsidR="00190C21">
        <w:t>0</w:t>
      </w:r>
      <w:r>
        <w:t xml:space="preserve"> – 0,</w:t>
      </w:r>
      <w:r w:rsidR="00190C21">
        <w:t>31</w:t>
      </w:r>
      <w:r>
        <w:t xml:space="preserve"> %. </w:t>
      </w:r>
      <w:r w:rsidR="00D90221">
        <w:t>Od roku 1996</w:t>
      </w:r>
      <w:r>
        <w:t xml:space="preserve"> </w:t>
      </w:r>
      <w:r w:rsidR="00190C21">
        <w:t>nastal</w:t>
      </w:r>
      <w:r>
        <w:t xml:space="preserve"> postupný pokles, který meziročně činil 0,0</w:t>
      </w:r>
      <w:r w:rsidR="00D90221">
        <w:t>2</w:t>
      </w:r>
      <w:r>
        <w:t xml:space="preserve"> – 0,</w:t>
      </w:r>
      <w:r w:rsidR="00D90221">
        <w:t>42</w:t>
      </w:r>
      <w:r>
        <w:t xml:space="preserve"> %.</w:t>
      </w:r>
      <w:r w:rsidR="00D90221">
        <w:t xml:space="preserve"> </w:t>
      </w:r>
      <w:r w:rsidR="00AB2054">
        <w:t>Výjimkou</w:t>
      </w:r>
      <w:r w:rsidR="00D90221">
        <w:t xml:space="preserve"> byly roky 2003, 2008 a 2010 kdy počet obyvatel meziročně vzrostl o 0,16 %, 0,09 % a 0,27 %</w:t>
      </w:r>
      <w:r>
        <w:t xml:space="preserve">. </w:t>
      </w:r>
      <w:r w:rsidR="001F5BC5">
        <w:t xml:space="preserve">Jak uvádí </w:t>
      </w:r>
      <w:r w:rsidR="001F5BC5" w:rsidRPr="001F5BC5">
        <w:rPr>
          <w:i/>
        </w:rPr>
        <w:t>Tab. 9 Vývoj počtu obyvatel SO ORP Zábřeh mezi lety 1991 – 2015 p</w:t>
      </w:r>
      <w:r w:rsidRPr="001F5BC5">
        <w:rPr>
          <w:i/>
        </w:rPr>
        <w:t xml:space="preserve">očet </w:t>
      </w:r>
      <w:r>
        <w:t xml:space="preserve">obyvatel mezi lety 1991 – 2015 klesl z původních </w:t>
      </w:r>
      <w:r w:rsidR="00D90221">
        <w:t>33 883</w:t>
      </w:r>
      <w:r>
        <w:t xml:space="preserve"> o </w:t>
      </w:r>
      <w:r w:rsidR="00D90221">
        <w:t xml:space="preserve">381 na 33 452 </w:t>
      </w:r>
      <w:r>
        <w:t>obyvatel.</w:t>
      </w:r>
    </w:p>
    <w:p w:rsidR="00473F05" w:rsidRDefault="00473F05" w:rsidP="00473F05">
      <w:r w:rsidRPr="00EB1447">
        <w:t>Klesající tendenci obyvatel v posledních letech (2010 – 2015)</w:t>
      </w:r>
      <w:r w:rsidR="008B18B2">
        <w:t>,</w:t>
      </w:r>
      <w:r w:rsidRPr="00EB1447">
        <w:t xml:space="preserve"> poměrově vzhledem k počtu obyvatel</w:t>
      </w:r>
      <w:r w:rsidR="008B18B2">
        <w:t>,</w:t>
      </w:r>
      <w:r w:rsidRPr="00EB1447">
        <w:t xml:space="preserve"> pocítila nejvíce obec </w:t>
      </w:r>
      <w:r w:rsidR="008B18B2" w:rsidRPr="00EB1447">
        <w:t>Postřelmůvek, kde</w:t>
      </w:r>
      <w:r w:rsidRPr="00EB1447">
        <w:t xml:space="preserve"> počet obyvatel klesl z původních </w:t>
      </w:r>
      <w:r w:rsidR="00EB1447" w:rsidRPr="00EB1447">
        <w:t>335</w:t>
      </w:r>
      <w:r w:rsidRPr="00EB1447">
        <w:t xml:space="preserve"> na </w:t>
      </w:r>
      <w:r w:rsidR="00EB1447" w:rsidRPr="00EB1447">
        <w:t>312</w:t>
      </w:r>
      <w:r w:rsidRPr="00EB1447">
        <w:t xml:space="preserve"> obyvatel, tj. </w:t>
      </w:r>
      <w:r w:rsidR="00005841">
        <w:t xml:space="preserve">o </w:t>
      </w:r>
      <w:r w:rsidR="00EB1447" w:rsidRPr="00EB1447">
        <w:t xml:space="preserve">6,9 </w:t>
      </w:r>
      <w:r w:rsidRPr="00EB1447">
        <w:t xml:space="preserve">%. </w:t>
      </w:r>
      <w:r w:rsidR="00003866" w:rsidRPr="00003866">
        <w:t>Naopak opačný trend proti</w:t>
      </w:r>
      <w:r w:rsidRPr="00EB1447">
        <w:t xml:space="preserve"> vývoji počtu obyvatelstva v SO ORP </w:t>
      </w:r>
      <w:r w:rsidR="00EB1447">
        <w:t>Zábřeh</w:t>
      </w:r>
      <w:r w:rsidR="008A243F">
        <w:t xml:space="preserve"> </w:t>
      </w:r>
      <w:r w:rsidR="00003866">
        <w:t>měla</w:t>
      </w:r>
      <w:r w:rsidR="008A243F">
        <w:t xml:space="preserve"> obec Hrabová</w:t>
      </w:r>
      <w:r w:rsidRPr="00EB1447">
        <w:t>, kde počet obyvatel mezi lety 2010 - 2015 vzro</w:t>
      </w:r>
      <w:r w:rsidR="008A243F">
        <w:t>stl z 532</w:t>
      </w:r>
      <w:r w:rsidR="00D90221" w:rsidRPr="00EB1447">
        <w:t xml:space="preserve"> na </w:t>
      </w:r>
      <w:r w:rsidR="008A243F">
        <w:t>635</w:t>
      </w:r>
      <w:r w:rsidR="00D90221" w:rsidRPr="00EB1447">
        <w:t xml:space="preserve"> </w:t>
      </w:r>
      <w:r w:rsidRPr="00EB1447">
        <w:t xml:space="preserve">obyvatel, což </w:t>
      </w:r>
      <w:r w:rsidR="008B18B2">
        <w:t xml:space="preserve">činilo přírůstek </w:t>
      </w:r>
      <w:r w:rsidR="008A243F">
        <w:t xml:space="preserve">19,4 </w:t>
      </w:r>
      <w:r w:rsidR="008B18B2">
        <w:t>%</w:t>
      </w:r>
      <w:r w:rsidRPr="00EB1447">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E54588">
        <w:trPr>
          <w:cantSplit/>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33 833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92</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27%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33 720</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-148</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44%</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34 108</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106</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31%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33 674</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-46</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14%</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34 194</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86</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25%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33 626</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-48</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14%</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34 281</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87</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25%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33 567</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-59</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18%</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34 316</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35</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33 597</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30</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586D47" w:rsidP="00450147">
            <w:pPr>
              <w:jc w:val="center"/>
              <w:rPr>
                <w:sz w:val="18"/>
              </w:rPr>
            </w:pPr>
            <w:r>
              <w:rPr>
                <w:sz w:val="18"/>
              </w:rPr>
              <w:t>0,</w:t>
            </w:r>
            <w:r w:rsidR="008E7C52" w:rsidRPr="00450147">
              <w:rPr>
                <w:sz w:val="18"/>
              </w:rPr>
              <w:t>09%</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34 270</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-46</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13%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33 591</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-6</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02%</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34 219</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-51</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33 683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92</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586D47" w:rsidP="00450147">
            <w:pPr>
              <w:jc w:val="center"/>
              <w:rPr>
                <w:sz w:val="18"/>
              </w:rPr>
            </w:pPr>
            <w:r>
              <w:rPr>
                <w:sz w:val="18"/>
              </w:rPr>
              <w:t>0,</w:t>
            </w:r>
            <w:r w:rsidR="008E7C52" w:rsidRPr="00450147">
              <w:rPr>
                <w:sz w:val="18"/>
              </w:rPr>
              <w:t>27%</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34 190</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-29</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08%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33 735</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-24</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07%</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34 105</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-85</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25%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33 662</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-73</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22%</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34 091</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-14</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33 522</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-140</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42%</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33 895</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-56</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17%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33 463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-59</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18%</w:t>
            </w:r>
          </w:p>
        </w:tc>
      </w:tr>
      <w:tr w:rsidR="008E7C52" w:rsidRPr="00BE4E54" w:rsidTr="0096640B">
        <w:trPr>
          <w:cantSplit/>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33 814</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-81</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24%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33 452</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-11</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450147" w:rsidRDefault="008E7C52" w:rsidP="00450147">
            <w:pPr>
              <w:jc w:val="center"/>
              <w:rPr>
                <w:sz w:val="18"/>
              </w:rPr>
            </w:pPr>
            <w:r w:rsidRPr="00450147">
              <w:rPr>
                <w:sz w:val="18"/>
              </w:rPr>
              <w:t>-</w:t>
            </w:r>
            <w:r w:rsidR="00586D47">
              <w:rPr>
                <w:sz w:val="18"/>
              </w:rPr>
              <w:t>0,</w:t>
            </w:r>
            <w:r w:rsidRPr="00450147">
              <w:rPr>
                <w:sz w:val="18"/>
              </w:rPr>
              <w:t>03%</w:t>
            </w:r>
          </w:p>
        </w:tc>
      </w:tr>
      <w:tr w:rsidR="00E83A59" w:rsidRPr="00BE4E54" w:rsidTr="0096640B">
        <w:trPr>
          <w:cantSplit/>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E83A59" w:rsidRPr="0096640B" w:rsidRDefault="00E83A59" w:rsidP="0096640B">
            <w:pPr>
              <w:pStyle w:val="Bezmezer"/>
              <w:jc w:val="center"/>
              <w:rPr>
                <w:b/>
                <w:sz w:val="18"/>
                <w:szCs w:val="18"/>
              </w:rPr>
            </w:pPr>
            <w:r w:rsidRPr="0096640B">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E83A59" w:rsidRPr="0096640B" w:rsidRDefault="00E83A59" w:rsidP="0096640B">
            <w:pPr>
              <w:jc w:val="center"/>
              <w:rPr>
                <w:sz w:val="18"/>
                <w:szCs w:val="18"/>
              </w:rPr>
            </w:pPr>
            <w:r w:rsidRPr="0096640B">
              <w:rPr>
                <w:sz w:val="18"/>
                <w:szCs w:val="18"/>
              </w:rPr>
              <w:t>33 868</w:t>
            </w:r>
          </w:p>
        </w:tc>
        <w:tc>
          <w:tcPr>
            <w:tcW w:w="727" w:type="pct"/>
            <w:tcBorders>
              <w:top w:val="single" w:sz="6" w:space="0" w:color="auto"/>
              <w:left w:val="single" w:sz="6" w:space="0" w:color="auto"/>
              <w:bottom w:val="double" w:sz="4" w:space="0" w:color="auto"/>
              <w:right w:val="single" w:sz="6" w:space="0" w:color="auto"/>
            </w:tcBorders>
            <w:vAlign w:val="center"/>
          </w:tcPr>
          <w:p w:rsidR="00E83A59" w:rsidRPr="0096640B" w:rsidRDefault="00E83A59" w:rsidP="0096640B">
            <w:pPr>
              <w:jc w:val="center"/>
              <w:rPr>
                <w:sz w:val="18"/>
                <w:szCs w:val="18"/>
              </w:rPr>
            </w:pPr>
            <w:r w:rsidRPr="0096640B">
              <w:rPr>
                <w:sz w:val="18"/>
                <w:szCs w:val="18"/>
              </w:rPr>
              <w:t>54</w:t>
            </w:r>
          </w:p>
        </w:tc>
        <w:tc>
          <w:tcPr>
            <w:tcW w:w="727" w:type="pct"/>
            <w:tcBorders>
              <w:top w:val="single" w:sz="6" w:space="0" w:color="auto"/>
              <w:left w:val="single" w:sz="6" w:space="0" w:color="auto"/>
              <w:bottom w:val="double" w:sz="4" w:space="0" w:color="auto"/>
              <w:right w:val="double" w:sz="4" w:space="0" w:color="auto"/>
            </w:tcBorders>
            <w:vAlign w:val="center"/>
          </w:tcPr>
          <w:p w:rsidR="00E83A59" w:rsidRPr="0096640B" w:rsidRDefault="00586D47" w:rsidP="0096640B">
            <w:pPr>
              <w:jc w:val="center"/>
              <w:rPr>
                <w:sz w:val="18"/>
                <w:szCs w:val="18"/>
              </w:rPr>
            </w:pPr>
            <w:r w:rsidRPr="0096640B">
              <w:rPr>
                <w:sz w:val="18"/>
                <w:szCs w:val="18"/>
              </w:rPr>
              <w:t>0,</w:t>
            </w:r>
            <w:r w:rsidR="00E83A59" w:rsidRPr="0096640B">
              <w:rPr>
                <w:sz w:val="18"/>
                <w:szCs w:val="18"/>
              </w:rPr>
              <w:t>16%</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E83A59" w:rsidRPr="0096640B" w:rsidRDefault="00E83A59" w:rsidP="0096640B">
            <w:pPr>
              <w:pStyle w:val="Bezmezer"/>
              <w:keepNext/>
              <w:jc w:val="center"/>
              <w:rPr>
                <w:sz w:val="18"/>
                <w:szCs w:val="18"/>
              </w:rPr>
            </w:pPr>
          </w:p>
        </w:tc>
      </w:tr>
    </w:tbl>
    <w:p w:rsidR="002D5D71" w:rsidRDefault="002D5D71" w:rsidP="00D4363C">
      <w:pPr>
        <w:pStyle w:val="Tabulka"/>
      </w:pPr>
      <w:bookmarkStart w:id="20" w:name="_Toc469908883"/>
      <w:r>
        <w:t xml:space="preserve">Tab. </w:t>
      </w:r>
      <w:r w:rsidR="005D1BD9">
        <w:fldChar w:fldCharType="begin"/>
      </w:r>
      <w:r w:rsidR="005D1BD9">
        <w:instrText xml:space="preserve"> SEQ Tab. \* ARABIC </w:instrText>
      </w:r>
      <w:r w:rsidR="005D1BD9">
        <w:fldChar w:fldCharType="separate"/>
      </w:r>
      <w:r w:rsidR="003A35BB">
        <w:rPr>
          <w:noProof/>
        </w:rPr>
        <w:t>9</w:t>
      </w:r>
      <w:r w:rsidR="005D1BD9">
        <w:rPr>
          <w:noProof/>
        </w:rPr>
        <w:fldChar w:fldCharType="end"/>
      </w:r>
      <w:r w:rsidR="001E21CC">
        <w:rPr>
          <w:noProof/>
        </w:rPr>
        <w:t xml:space="preserve"> Vývoj počtu obyvatel SO ORP Zábřeh mezi lety 1991 – 2015</w:t>
      </w:r>
      <w:bookmarkEnd w:id="20"/>
    </w:p>
    <w:p w:rsidR="007362A9" w:rsidRPr="00AB0C32" w:rsidRDefault="007362A9" w:rsidP="007362A9">
      <w:r w:rsidRPr="00AB0C32">
        <w:t xml:space="preserve">Počet zemřelých v SO ORP </w:t>
      </w:r>
      <w:r w:rsidR="00251D2B" w:rsidRPr="00AB0C32">
        <w:t>Zábřeh</w:t>
      </w:r>
      <w:r w:rsidRPr="00AB0C32">
        <w:t xml:space="preserve"> poprvé překonal p</w:t>
      </w:r>
      <w:r w:rsidR="004C2C16" w:rsidRPr="00AB0C32">
        <w:t>očet živě narozených v roce 1997</w:t>
      </w:r>
      <w:r w:rsidRPr="00AB0C32">
        <w:t xml:space="preserve"> (</w:t>
      </w:r>
      <w:r w:rsidR="004C2C16" w:rsidRPr="00AB0C32">
        <w:t>291</w:t>
      </w:r>
      <w:r w:rsidRPr="00AB0C32">
        <w:t xml:space="preserve"> živě narozených, </w:t>
      </w:r>
      <w:r w:rsidR="004C2C16" w:rsidRPr="00AB0C32">
        <w:t>310</w:t>
      </w:r>
      <w:r w:rsidRPr="00AB0C32">
        <w:t xml:space="preserve"> zemřelých)</w:t>
      </w:r>
      <w:r w:rsidR="004C2C16" w:rsidRPr="00AB0C32">
        <w:t>.</w:t>
      </w:r>
      <w:r w:rsidRPr="00AB0C32">
        <w:t xml:space="preserve"> </w:t>
      </w:r>
      <w:r w:rsidR="004C2C16" w:rsidRPr="00AB0C32">
        <w:t xml:space="preserve">Od té doby </w:t>
      </w:r>
      <w:r w:rsidR="00E9353C">
        <w:t>byl</w:t>
      </w:r>
      <w:r w:rsidR="004C2C16" w:rsidRPr="00AB0C32">
        <w:t xml:space="preserve"> tento tre</w:t>
      </w:r>
      <w:r w:rsidR="00A42262" w:rsidRPr="00AB0C32">
        <w:t xml:space="preserve">nd vyrovnaný a roky s větším počtem živě narozených se </w:t>
      </w:r>
      <w:r w:rsidR="00E9353C">
        <w:t>střídaly</w:t>
      </w:r>
      <w:r w:rsidR="00A42262" w:rsidRPr="00AB0C32">
        <w:t xml:space="preserve"> s roky s větším počtem zemřelých</w:t>
      </w:r>
      <w:r w:rsidRPr="00AB0C32">
        <w:t>.</w:t>
      </w:r>
      <w:r w:rsidR="00DA4442" w:rsidRPr="00AB0C32">
        <w:t xml:space="preserve"> V poslední</w:t>
      </w:r>
      <w:r w:rsidR="00E9353C">
        <w:t>ch</w:t>
      </w:r>
      <w:r w:rsidR="00DA4442" w:rsidRPr="00AB0C32">
        <w:t xml:space="preserve"> </w:t>
      </w:r>
      <w:r w:rsidR="00E9353C">
        <w:t>letech</w:t>
      </w:r>
      <w:r w:rsidR="00DA4442" w:rsidRPr="00AB0C32">
        <w:t xml:space="preserve"> dokonce roky s živě narozenými převlád</w:t>
      </w:r>
      <w:r w:rsidR="00E9353C">
        <w:t>ly</w:t>
      </w:r>
      <w:r w:rsidR="00DA4442" w:rsidRPr="00AB0C32">
        <w:t>.</w:t>
      </w:r>
    </w:p>
    <w:p w:rsidR="007362A9" w:rsidRDefault="007362A9" w:rsidP="007362A9">
      <w:r w:rsidRPr="00AB0C32">
        <w:t xml:space="preserve">Z hlediska přírůstku obyvatel stěhováním </w:t>
      </w:r>
      <w:r w:rsidR="00E9353C">
        <w:t>docházelo</w:t>
      </w:r>
      <w:r w:rsidRPr="00AB0C32">
        <w:t xml:space="preserve"> v rámci SO ORP</w:t>
      </w:r>
      <w:r w:rsidR="00E9353C">
        <w:t xml:space="preserve"> Zábřeh</w:t>
      </w:r>
      <w:r w:rsidRPr="00AB0C32">
        <w:t xml:space="preserve"> k dlouhodobému úbytku </w:t>
      </w:r>
      <w:r w:rsidR="00B60DAE" w:rsidRPr="00AB0C32">
        <w:t xml:space="preserve">který </w:t>
      </w:r>
      <w:r w:rsidR="00F70A8C" w:rsidRPr="00AB0C32">
        <w:t>dosáhl max. 0,3 % v roce 2014.</w:t>
      </w:r>
      <w:r w:rsidR="00AB0C32" w:rsidRPr="00AB0C32">
        <w:t xml:space="preserve"> </w:t>
      </w:r>
      <w:r w:rsidR="003D086A" w:rsidRPr="00AB0C32">
        <w:t>Výjimkou</w:t>
      </w:r>
      <w:r w:rsidR="00F70A8C" w:rsidRPr="00AB0C32">
        <w:t xml:space="preserve"> byly roky</w:t>
      </w:r>
      <w:r w:rsidR="00AB0C32" w:rsidRPr="00AB0C32">
        <w:t xml:space="preserve"> 1995 a 2003, kdy byl přírůstek stěhováním 0,02 % resp. 0,08%.</w:t>
      </w:r>
    </w:p>
    <w:p w:rsidR="00AD6B94" w:rsidRDefault="00942E4E" w:rsidP="00AD6B94">
      <w:pPr>
        <w:keepNext/>
      </w:pPr>
      <w:r>
        <w:rPr>
          <w:noProof/>
          <w:lang w:eastAsia="cs-CZ"/>
        </w:rPr>
        <w:lastRenderedPageBreak/>
        <w:drawing>
          <wp:inline distT="0" distB="0" distL="0" distR="0" wp14:anchorId="11661B76" wp14:editId="15383312">
            <wp:extent cx="5760720" cy="3683897"/>
            <wp:effectExtent l="0" t="0" r="11430" b="1206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3F05" w:rsidRDefault="00AD6B94" w:rsidP="00D4363C">
      <w:pPr>
        <w:pStyle w:val="Tabulka"/>
      </w:pPr>
      <w:bookmarkStart w:id="21" w:name="_Toc469908864"/>
      <w:r>
        <w:t xml:space="preserve">Graf </w:t>
      </w:r>
      <w:r w:rsidR="005D1BD9">
        <w:fldChar w:fldCharType="begin"/>
      </w:r>
      <w:r w:rsidR="005D1BD9">
        <w:instrText xml:space="preserve"> SEQ Graf \* ARABIC </w:instrText>
      </w:r>
      <w:r w:rsidR="005D1BD9">
        <w:fldChar w:fldCharType="separate"/>
      </w:r>
      <w:r w:rsidR="003A35BB">
        <w:rPr>
          <w:noProof/>
        </w:rPr>
        <w:t>5</w:t>
      </w:r>
      <w:r w:rsidR="005D1BD9">
        <w:rPr>
          <w:noProof/>
        </w:rPr>
        <w:fldChar w:fldCharType="end"/>
      </w:r>
      <w:r w:rsidR="0074624D">
        <w:rPr>
          <w:noProof/>
        </w:rPr>
        <w:t xml:space="preserve"> Vývoj a předpokládaný vývoj počtu obyvatel SO ORP Zábřeh v letech 1991 – 2050</w:t>
      </w:r>
      <w:bookmarkEnd w:id="21"/>
    </w:p>
    <w:p w:rsidR="007362A9" w:rsidRDefault="007362A9" w:rsidP="007362A9">
      <w:r w:rsidRPr="00BE05B8">
        <w:t>Výhl</w:t>
      </w:r>
      <w:r w:rsidR="00BE05B8" w:rsidRPr="00BE05B8">
        <w:t xml:space="preserve">ed počtu obyvatel </w:t>
      </w:r>
      <w:r w:rsidR="00196FC2">
        <w:t>SO ORP Zábřeh</w:t>
      </w:r>
      <w:r w:rsidR="005B1AD9">
        <w:t xml:space="preserve"> </w:t>
      </w:r>
      <w:r w:rsidR="005B1AD9" w:rsidRPr="00BE05B8">
        <w:t>předpokládá</w:t>
      </w:r>
      <w:r w:rsidR="00BE05B8" w:rsidRPr="00BE05B8">
        <w:t xml:space="preserve"> v blízké době se stagnací a následným mírným poklesem</w:t>
      </w:r>
      <w:r w:rsidR="00196FC2">
        <w:t xml:space="preserve"> jak zobrazuje </w:t>
      </w:r>
      <w:r w:rsidR="00196FC2" w:rsidRPr="00196FC2">
        <w:rPr>
          <w:i/>
        </w:rPr>
        <w:t>Graf 5 Vývoj a předpokládaný vývoj počtu obyvatel SO ORP Zábřeh v letech 1991 – 2050</w:t>
      </w:r>
      <w:r w:rsidR="00196FC2">
        <w:t xml:space="preserve"> a </w:t>
      </w:r>
      <w:r w:rsidR="00196FC2" w:rsidRPr="00196FC2">
        <w:rPr>
          <w:i/>
        </w:rPr>
        <w:t>Tab. 10 Předpokládaný vývoj počtu obyvatel SO ORP Zábřeh do roku 2050</w:t>
      </w:r>
      <w:r w:rsidR="00BE05B8" w:rsidRPr="00196FC2">
        <w:rPr>
          <w:i/>
        </w:rPr>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14747B" w:rsidTr="003D086A">
        <w:tc>
          <w:tcPr>
            <w:tcW w:w="1000" w:type="pct"/>
            <w:tcBorders>
              <w:left w:val="double" w:sz="4" w:space="0" w:color="auto"/>
              <w:bottom w:val="double" w:sz="4" w:space="0" w:color="auto"/>
            </w:tcBorders>
            <w:shd w:val="clear" w:color="auto" w:fill="BCD9DE" w:themeFill="accent5" w:themeFillTint="66"/>
            <w:vAlign w:val="center"/>
          </w:tcPr>
          <w:p w:rsidR="0014747B" w:rsidRPr="004E092F" w:rsidRDefault="0014747B" w:rsidP="008E7C52">
            <w:pPr>
              <w:pStyle w:val="Bezmezer"/>
              <w:jc w:val="center"/>
              <w:rPr>
                <w:b/>
                <w:sz w:val="18"/>
              </w:rPr>
            </w:pPr>
            <w:r w:rsidRPr="004E092F">
              <w:rPr>
                <w:b/>
                <w:sz w:val="18"/>
              </w:rPr>
              <w:t>POČET OBYVATEL</w:t>
            </w:r>
          </w:p>
        </w:tc>
        <w:tc>
          <w:tcPr>
            <w:tcW w:w="1000" w:type="pct"/>
            <w:tcBorders>
              <w:bottom w:val="double" w:sz="4" w:space="0" w:color="auto"/>
            </w:tcBorders>
            <w:vAlign w:val="center"/>
          </w:tcPr>
          <w:p w:rsidR="0014747B" w:rsidRPr="003D086A" w:rsidRDefault="0014747B" w:rsidP="003D086A">
            <w:pPr>
              <w:jc w:val="center"/>
              <w:rPr>
                <w:sz w:val="18"/>
              </w:rPr>
            </w:pPr>
            <w:r w:rsidRPr="003D086A">
              <w:rPr>
                <w:sz w:val="18"/>
              </w:rPr>
              <w:t>33</w:t>
            </w:r>
            <w:r w:rsidR="003D086A" w:rsidRPr="003D086A">
              <w:rPr>
                <w:sz w:val="18"/>
              </w:rPr>
              <w:t xml:space="preserve"> </w:t>
            </w:r>
            <w:r w:rsidRPr="003D086A">
              <w:rPr>
                <w:sz w:val="18"/>
              </w:rPr>
              <w:t>490</w:t>
            </w:r>
          </w:p>
        </w:tc>
        <w:tc>
          <w:tcPr>
            <w:tcW w:w="1000" w:type="pct"/>
            <w:tcBorders>
              <w:bottom w:val="double" w:sz="4" w:space="0" w:color="auto"/>
            </w:tcBorders>
            <w:vAlign w:val="center"/>
          </w:tcPr>
          <w:p w:rsidR="0014747B" w:rsidRPr="003D086A" w:rsidRDefault="0014747B" w:rsidP="003D086A">
            <w:pPr>
              <w:jc w:val="center"/>
              <w:rPr>
                <w:sz w:val="18"/>
              </w:rPr>
            </w:pPr>
            <w:r w:rsidRPr="003D086A">
              <w:rPr>
                <w:sz w:val="18"/>
              </w:rPr>
              <w:t>33</w:t>
            </w:r>
            <w:r w:rsidR="003D086A" w:rsidRPr="003D086A">
              <w:rPr>
                <w:sz w:val="18"/>
              </w:rPr>
              <w:t xml:space="preserve"> </w:t>
            </w:r>
            <w:r w:rsidRPr="003D086A">
              <w:rPr>
                <w:sz w:val="18"/>
              </w:rPr>
              <w:t>473</w:t>
            </w:r>
          </w:p>
        </w:tc>
        <w:tc>
          <w:tcPr>
            <w:tcW w:w="1000" w:type="pct"/>
            <w:tcBorders>
              <w:bottom w:val="double" w:sz="4" w:space="0" w:color="auto"/>
            </w:tcBorders>
            <w:vAlign w:val="center"/>
          </w:tcPr>
          <w:p w:rsidR="0014747B" w:rsidRPr="003D086A" w:rsidRDefault="0014747B" w:rsidP="003D086A">
            <w:pPr>
              <w:jc w:val="center"/>
              <w:rPr>
                <w:sz w:val="18"/>
              </w:rPr>
            </w:pPr>
            <w:r w:rsidRPr="003D086A">
              <w:rPr>
                <w:sz w:val="18"/>
              </w:rPr>
              <w:t>33</w:t>
            </w:r>
            <w:r w:rsidR="003D086A" w:rsidRPr="003D086A">
              <w:rPr>
                <w:sz w:val="18"/>
              </w:rPr>
              <w:t xml:space="preserve"> </w:t>
            </w:r>
            <w:r w:rsidRPr="003D086A">
              <w:rPr>
                <w:sz w:val="18"/>
              </w:rPr>
              <w:t>449</w:t>
            </w:r>
          </w:p>
        </w:tc>
        <w:tc>
          <w:tcPr>
            <w:tcW w:w="1000" w:type="pct"/>
            <w:tcBorders>
              <w:bottom w:val="double" w:sz="4" w:space="0" w:color="auto"/>
              <w:right w:val="double" w:sz="4" w:space="0" w:color="auto"/>
            </w:tcBorders>
            <w:vAlign w:val="center"/>
          </w:tcPr>
          <w:p w:rsidR="0014747B" w:rsidRPr="003D086A" w:rsidRDefault="0014747B" w:rsidP="002D5D71">
            <w:pPr>
              <w:keepNext/>
              <w:jc w:val="center"/>
              <w:rPr>
                <w:sz w:val="18"/>
              </w:rPr>
            </w:pPr>
            <w:r w:rsidRPr="003D086A">
              <w:rPr>
                <w:sz w:val="18"/>
              </w:rPr>
              <w:t>33</w:t>
            </w:r>
            <w:r w:rsidR="003D086A" w:rsidRPr="003D086A">
              <w:rPr>
                <w:sz w:val="18"/>
              </w:rPr>
              <w:t xml:space="preserve"> </w:t>
            </w:r>
            <w:r w:rsidRPr="003D086A">
              <w:rPr>
                <w:sz w:val="18"/>
              </w:rPr>
              <w:t>388</w:t>
            </w:r>
          </w:p>
        </w:tc>
      </w:tr>
    </w:tbl>
    <w:p w:rsidR="002D5D71" w:rsidRDefault="002D5D71" w:rsidP="00D4363C">
      <w:pPr>
        <w:pStyle w:val="Tabulka"/>
        <w:rPr>
          <w:noProof/>
        </w:rPr>
      </w:pPr>
      <w:bookmarkStart w:id="22" w:name="_Toc469908884"/>
      <w:r>
        <w:t xml:space="preserve">Tab. </w:t>
      </w:r>
      <w:r w:rsidR="005D1BD9">
        <w:fldChar w:fldCharType="begin"/>
      </w:r>
      <w:r w:rsidR="005D1BD9">
        <w:instrText xml:space="preserve"> SEQ Tab. \* ARABIC </w:instrText>
      </w:r>
      <w:r w:rsidR="005D1BD9">
        <w:fldChar w:fldCharType="separate"/>
      </w:r>
      <w:r w:rsidR="003A35BB">
        <w:rPr>
          <w:noProof/>
        </w:rPr>
        <w:t>10</w:t>
      </w:r>
      <w:r w:rsidR="005D1BD9">
        <w:rPr>
          <w:noProof/>
        </w:rPr>
        <w:fldChar w:fldCharType="end"/>
      </w:r>
      <w:r w:rsidR="004D62E0">
        <w:rPr>
          <w:noProof/>
        </w:rPr>
        <w:t xml:space="preserve"> Předpokládaný vývoj počtu obyvatel SO ORP Zábřeh do roku 2050</w:t>
      </w:r>
      <w:bookmarkEnd w:id="22"/>
    </w:p>
    <w:p w:rsidR="00D4363C" w:rsidRDefault="00D4363C" w:rsidP="00D4363C"/>
    <w:p w:rsidR="00D4363C" w:rsidRDefault="00D4363C">
      <w:pPr>
        <w:spacing w:before="0" w:after="0"/>
        <w:jc w:val="left"/>
      </w:pPr>
      <w:r>
        <w:br w:type="page"/>
      </w:r>
    </w:p>
    <w:p w:rsidR="00893EB7" w:rsidRDefault="00893EB7" w:rsidP="00450147">
      <w:pPr>
        <w:pStyle w:val="Nadpis2"/>
      </w:pPr>
      <w:bookmarkStart w:id="23" w:name="_Toc469989349"/>
      <w:r w:rsidRPr="00F52857">
        <w:lastRenderedPageBreak/>
        <w:t>SO ORP Mohelnice</w:t>
      </w:r>
      <w:bookmarkEnd w:id="23"/>
    </w:p>
    <w:p w:rsidR="00473F05" w:rsidRDefault="00473F05" w:rsidP="00473F05">
      <w:r w:rsidRPr="007E3A45">
        <w:t xml:space="preserve">SO ORP </w:t>
      </w:r>
      <w:r w:rsidR="00652C1E">
        <w:t>Mohelnice</w:t>
      </w:r>
      <w:r w:rsidRPr="007E3A45">
        <w:t xml:space="preserve"> se nachází v </w:t>
      </w:r>
      <w:r w:rsidR="00652C1E">
        <w:t>západní</w:t>
      </w:r>
      <w:r w:rsidRPr="007E3A45">
        <w:t xml:space="preserve"> části Olomouckého kraje.</w:t>
      </w:r>
      <w:r>
        <w:t xml:space="preserve"> Na </w:t>
      </w:r>
      <w:r w:rsidR="00652C1E">
        <w:t>v</w:t>
      </w:r>
      <w:r>
        <w:t xml:space="preserve">ýchodě sousedí </w:t>
      </w:r>
      <w:r w:rsidR="00652C1E">
        <w:t xml:space="preserve">SO ORP Uničov, na jihu </w:t>
      </w:r>
      <w:r>
        <w:t xml:space="preserve">s SO ORP </w:t>
      </w:r>
      <w:r w:rsidR="00652C1E">
        <w:t>Litovel a na severu s SO ORP Zábřeh</w:t>
      </w:r>
      <w:r>
        <w:t>.</w:t>
      </w:r>
      <w:r w:rsidRPr="007E3A45">
        <w:t xml:space="preserve"> </w:t>
      </w:r>
      <w:r w:rsidR="00652C1E">
        <w:t>Západně</w:t>
      </w:r>
      <w:r>
        <w:t xml:space="preserve"> </w:t>
      </w:r>
      <w:r w:rsidR="00652C1E">
        <w:t>sousedí s Pardubickým krajem</w:t>
      </w:r>
      <w:r>
        <w:t xml:space="preserve">. SO ORP </w:t>
      </w:r>
      <w:r w:rsidR="00652C1E">
        <w:t>Mohelnice</w:t>
      </w:r>
      <w:r>
        <w:t xml:space="preserve"> zahrnuje </w:t>
      </w:r>
      <w:r w:rsidR="00652C1E">
        <w:t>1</w:t>
      </w:r>
      <w:r w:rsidRPr="00F1188E">
        <w:t xml:space="preserve">4 obcí </w:t>
      </w:r>
      <w:r w:rsidR="00652C1E">
        <w:t>–</w:t>
      </w:r>
      <w:r>
        <w:t xml:space="preserve"> </w:t>
      </w:r>
      <w:r w:rsidR="00652C1E" w:rsidRPr="00652C1E">
        <w:t>Klopina, Krchleby, Líšnice, Loštice, Maletín, Mírov, Mohelnice, Moravičany, Palonín, Pavlov, Police, Staveni</w:t>
      </w:r>
      <w:r w:rsidR="00652C1E">
        <w:t xml:space="preserve">ce, Třeština a </w:t>
      </w:r>
      <w:r w:rsidR="00652C1E" w:rsidRPr="00652C1E">
        <w:t>Úsov</w:t>
      </w:r>
      <w:r w:rsidR="00652C1E">
        <w:t>.</w:t>
      </w:r>
      <w:r>
        <w:t xml:space="preserve"> </w:t>
      </w:r>
      <w:r w:rsidR="00EA3A41">
        <w:t>Obcí s největším počtem obyvatel k 31. 12. 2015 bylo město Mohelnice s 9 245 obyvateli, nejmenší pak byla obce Stavenice, která měla k 31. 12. 2015 145 evidovaných obyvatel.</w:t>
      </w:r>
    </w:p>
    <w:p w:rsidR="00473F05" w:rsidRDefault="00473F05" w:rsidP="00473F05">
      <w:r>
        <w:t xml:space="preserve">K 31. 12. 2015 bylo v SO ORP </w:t>
      </w:r>
      <w:r w:rsidR="008F2EC5">
        <w:t>Mohelnice</w:t>
      </w:r>
      <w:r>
        <w:t xml:space="preserve"> evidováno </w:t>
      </w:r>
      <w:r w:rsidR="008F2EC5">
        <w:t>18 393</w:t>
      </w:r>
      <w:r>
        <w:t xml:space="preserve"> obyvatel, což tvořilo </w:t>
      </w:r>
      <w:r w:rsidR="008F2EC5">
        <w:t>2</w:t>
      </w:r>
      <w:r>
        <w:t>,</w:t>
      </w:r>
      <w:r w:rsidR="008F2EC5">
        <w:t>9</w:t>
      </w:r>
      <w:r>
        <w:t xml:space="preserve"> % z celkového počtu obyvatel Olomouckého kraje. Vývoj počtu obyvatel měl v SO ORP </w:t>
      </w:r>
      <w:r w:rsidR="008F2EC5">
        <w:t>Mohelnice</w:t>
      </w:r>
      <w:r>
        <w:t xml:space="preserve"> mezi lety 1991 – 2015</w:t>
      </w:r>
      <w:r w:rsidR="00972C92">
        <w:t xml:space="preserve"> poměrně vyrovnanou</w:t>
      </w:r>
      <w:r w:rsidR="00B91B68">
        <w:t>,</w:t>
      </w:r>
      <w:r>
        <w:t xml:space="preserve"> </w:t>
      </w:r>
      <w:r w:rsidR="008F2EC5">
        <w:t>střídavou</w:t>
      </w:r>
      <w:r>
        <w:t xml:space="preserve"> tendenc</w:t>
      </w:r>
      <w:r w:rsidR="008F2EC5">
        <w:t>i</w:t>
      </w:r>
      <w:r>
        <w:t xml:space="preserve">. </w:t>
      </w:r>
      <w:r w:rsidR="008F2EC5">
        <w:t>V 9</w:t>
      </w:r>
      <w:r w:rsidR="00586D47">
        <w:t>0,</w:t>
      </w:r>
      <w:r w:rsidR="008F2EC5">
        <w:t xml:space="preserve"> letech byl patrný postupný růst počtu obyvatel, který na konci devadesátých let</w:t>
      </w:r>
      <w:r>
        <w:t xml:space="preserve"> </w:t>
      </w:r>
      <w:r w:rsidR="008F2EC5">
        <w:t>vrcholil. Na přelomu tisíciletí a první polovině prvního desetiletí docházelo k poklesu obyvatelstva. V polovině prvního desetiletí se úbytek zastavil a došlo k pomalému růstu počtu obyvatelstva. Od začátku druhého desetiletí nastal další pokles, tentokrát výraznější než na začátku tisíciletí. Mezi</w:t>
      </w:r>
      <w:r>
        <w:t xml:space="preserve"> lety 1991 – 199</w:t>
      </w:r>
      <w:r w:rsidR="008F2EC5">
        <w:t>8</w:t>
      </w:r>
      <w:r>
        <w:t xml:space="preserve"> rostl počet obyvatel meziročně o 0,</w:t>
      </w:r>
      <w:r w:rsidR="008F2EC5">
        <w:t>03</w:t>
      </w:r>
      <w:r>
        <w:t xml:space="preserve"> – 0,</w:t>
      </w:r>
      <w:r w:rsidR="008F2EC5">
        <w:t>66 %. Mezi lety 1999</w:t>
      </w:r>
      <w:r>
        <w:t xml:space="preserve"> – 200</w:t>
      </w:r>
      <w:r w:rsidR="008F2EC5">
        <w:t>5</w:t>
      </w:r>
      <w:r>
        <w:t xml:space="preserve"> začal postupný pokles, který meziročně činil 0,07 – 0,32 %. Od roku 200</w:t>
      </w:r>
      <w:r w:rsidR="008F2EC5">
        <w:t>6</w:t>
      </w:r>
      <w:r>
        <w:t xml:space="preserve"> </w:t>
      </w:r>
      <w:r w:rsidR="008F2EC5">
        <w:t>až do roku 2009 počet obyvatel opět narůstal</w:t>
      </w:r>
      <w:r w:rsidR="00972C92">
        <w:t xml:space="preserve"> meziročně o 0,01 – 0,19 %. Od roku 2010 nastal pokles, který meziročně činil od 0,16 % až do 0,59 % v roce 2015</w:t>
      </w:r>
      <w:r>
        <w:t xml:space="preserve">. </w:t>
      </w:r>
      <w:r w:rsidR="00B80496">
        <w:t xml:space="preserve">Jak uvádí </w:t>
      </w:r>
      <w:r w:rsidR="00B80496" w:rsidRPr="00B80496">
        <w:rPr>
          <w:i/>
        </w:rPr>
        <w:t>Tab. 11 Vývoj počtu obyvatel SO ORP Mohelnice mezi lety 1991 – 2015</w:t>
      </w:r>
      <w:r w:rsidR="00B80496">
        <w:t xml:space="preserve"> p</w:t>
      </w:r>
      <w:r>
        <w:t>očet obyvatel mezi lety 1991 – 2015 klesl</w:t>
      </w:r>
      <w:r w:rsidR="00972C92">
        <w:t xml:space="preserve"> nepatrně</w:t>
      </w:r>
      <w:r>
        <w:t xml:space="preserve"> z původních </w:t>
      </w:r>
      <w:r w:rsidR="00972C92">
        <w:t>18 466 o 73 na 18 393</w:t>
      </w:r>
      <w:r>
        <w:t xml:space="preserve"> obyvatel.</w:t>
      </w:r>
    </w:p>
    <w:p w:rsidR="00473F05" w:rsidRDefault="00473F05" w:rsidP="00473F05">
      <w:r w:rsidRPr="00EF51F3">
        <w:t>Klesající tendenci obyvatel v posledních letech (2010 – 2015)</w:t>
      </w:r>
      <w:r w:rsidR="00A277F0">
        <w:t>,</w:t>
      </w:r>
      <w:r w:rsidRPr="00EF51F3">
        <w:t xml:space="preserve"> poměrově vzhledem k počtu obyvatel</w:t>
      </w:r>
      <w:r w:rsidR="00A277F0">
        <w:t>,</w:t>
      </w:r>
      <w:r w:rsidRPr="00EF51F3">
        <w:t xml:space="preserve"> pocítila nejvíce obec </w:t>
      </w:r>
      <w:r w:rsidR="00FB54D0" w:rsidRPr="00EF51F3">
        <w:t>Krchleby</w:t>
      </w:r>
      <w:r w:rsidR="00A277F0">
        <w:t>,</w:t>
      </w:r>
      <w:r w:rsidRPr="00EF51F3">
        <w:t xml:space="preserve"> kde počet obyvatel klesl z původních </w:t>
      </w:r>
      <w:r w:rsidR="00FB54D0" w:rsidRPr="00EF51F3">
        <w:t>197</w:t>
      </w:r>
      <w:r w:rsidRPr="00EF51F3">
        <w:t xml:space="preserve"> na </w:t>
      </w:r>
      <w:r w:rsidR="00FB54D0" w:rsidRPr="00EF51F3">
        <w:t>182</w:t>
      </w:r>
      <w:r w:rsidRPr="00EF51F3">
        <w:t xml:space="preserve"> obyvatel, tj. </w:t>
      </w:r>
      <w:r w:rsidR="00A277F0">
        <w:t xml:space="preserve">o </w:t>
      </w:r>
      <w:r w:rsidR="00FB54D0" w:rsidRPr="00EF51F3">
        <w:t xml:space="preserve">7,6 </w:t>
      </w:r>
      <w:r w:rsidRPr="00EF51F3">
        <w:t xml:space="preserve">%. </w:t>
      </w:r>
      <w:r w:rsidR="00003866" w:rsidRPr="00003866">
        <w:t>Naopak opačný trend proti</w:t>
      </w:r>
      <w:r w:rsidRPr="00EF51F3">
        <w:t xml:space="preserve"> vývoji počtu obyvatelstva v SO ORP </w:t>
      </w:r>
      <w:r w:rsidR="00FB54D0" w:rsidRPr="00EF51F3">
        <w:t>Mohelnice</w:t>
      </w:r>
      <w:r w:rsidRPr="00EF51F3">
        <w:t xml:space="preserve"> </w:t>
      </w:r>
      <w:r w:rsidR="00003866">
        <w:t>měla</w:t>
      </w:r>
      <w:r w:rsidRPr="00EF51F3">
        <w:t xml:space="preserve"> obec </w:t>
      </w:r>
      <w:r w:rsidR="00FB54D0" w:rsidRPr="00EF51F3">
        <w:t>Líšnice</w:t>
      </w:r>
      <w:r w:rsidRPr="00EF51F3">
        <w:t>, kde počet obyvatel m</w:t>
      </w:r>
      <w:r w:rsidR="00FB54D0" w:rsidRPr="00EF51F3">
        <w:t>ezi lety 2010 - 2015 vzrostl z 309</w:t>
      </w:r>
      <w:r w:rsidRPr="00EF51F3">
        <w:t xml:space="preserve"> na </w:t>
      </w:r>
      <w:r w:rsidR="00FB54D0" w:rsidRPr="00EF51F3">
        <w:t>341</w:t>
      </w:r>
      <w:r w:rsidRPr="00EF51F3">
        <w:t xml:space="preserve"> obyvatel, což </w:t>
      </w:r>
      <w:r w:rsidR="00003866">
        <w:t>činilo přírůstek</w:t>
      </w:r>
      <w:r w:rsidRPr="00EF51F3">
        <w:t xml:space="preserve"> </w:t>
      </w:r>
      <w:r w:rsidR="00EF51F3" w:rsidRPr="00EF51F3">
        <w:t xml:space="preserve">10,4 </w:t>
      </w:r>
      <w:r w:rsidR="00003866">
        <w:t>%</w:t>
      </w:r>
      <w:r w:rsidRPr="00EF51F3">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44215B">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18 466</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61</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33%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18 674</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-63</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34%</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18 472</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6</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03%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18 668</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-6</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03%</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18 577</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105</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57%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18 703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35</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19%</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18 700</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123</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66%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18 726</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23</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12%</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18 753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53</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28%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18 727</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01%</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18 802</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49</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26%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18 736</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9</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05%</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18 811</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9</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05%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18 706</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-30</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16%</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18 867</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56</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586D47" w:rsidP="0096640B">
            <w:pPr>
              <w:jc w:val="center"/>
              <w:rPr>
                <w:sz w:val="18"/>
                <w:szCs w:val="18"/>
              </w:rPr>
            </w:pPr>
            <w:r w:rsidRPr="0096640B">
              <w:rPr>
                <w:sz w:val="18"/>
                <w:szCs w:val="18"/>
              </w:rPr>
              <w:t>0,</w:t>
            </w:r>
            <w:r w:rsidR="008E7C52" w:rsidRPr="0096640B">
              <w:rPr>
                <w:sz w:val="18"/>
                <w:szCs w:val="18"/>
              </w:rPr>
              <w:t>30%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18 714</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-58</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31%</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18 866</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01%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18 645</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-69</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37%</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18 863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02%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18 592</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-53</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29%</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18 793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-37</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20%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18 501</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-91</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49%</w:t>
            </w:r>
          </w:p>
        </w:tc>
      </w:tr>
      <w:tr w:rsidR="008E7C52" w:rsidRPr="00BE4E54" w:rsidTr="0096640B">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18 761</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-32</w:t>
            </w:r>
          </w:p>
        </w:tc>
        <w:tc>
          <w:tcPr>
            <w:tcW w:w="727"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17%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E7C52" w:rsidRPr="0096640B" w:rsidRDefault="008E7C52" w:rsidP="0096640B">
            <w:pPr>
              <w:pStyle w:val="Bezmezer"/>
              <w:jc w:val="center"/>
              <w:rPr>
                <w:b/>
                <w:sz w:val="18"/>
                <w:szCs w:val="18"/>
              </w:rPr>
            </w:pPr>
            <w:r w:rsidRPr="0096640B">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18 393</w:t>
            </w:r>
          </w:p>
        </w:tc>
        <w:tc>
          <w:tcPr>
            <w:tcW w:w="727" w:type="pct"/>
            <w:tcBorders>
              <w:top w:val="single" w:sz="6" w:space="0" w:color="auto"/>
              <w:left w:val="single" w:sz="6" w:space="0" w:color="auto"/>
              <w:bottom w:val="single" w:sz="6" w:space="0" w:color="auto"/>
              <w:right w:val="single" w:sz="6" w:space="0" w:color="auto"/>
            </w:tcBorders>
            <w:vAlign w:val="center"/>
          </w:tcPr>
          <w:p w:rsidR="008E7C52" w:rsidRPr="0096640B" w:rsidRDefault="008E7C52" w:rsidP="0096640B">
            <w:pPr>
              <w:jc w:val="center"/>
              <w:rPr>
                <w:sz w:val="18"/>
                <w:szCs w:val="18"/>
              </w:rPr>
            </w:pPr>
            <w:r w:rsidRPr="0096640B">
              <w:rPr>
                <w:sz w:val="18"/>
                <w:szCs w:val="18"/>
              </w:rPr>
              <w:t>-108</w:t>
            </w:r>
          </w:p>
        </w:tc>
        <w:tc>
          <w:tcPr>
            <w:tcW w:w="722" w:type="pct"/>
            <w:tcBorders>
              <w:top w:val="single" w:sz="6" w:space="0" w:color="auto"/>
              <w:left w:val="single" w:sz="6" w:space="0" w:color="auto"/>
              <w:bottom w:val="single" w:sz="6" w:space="0" w:color="auto"/>
              <w:right w:val="double" w:sz="4" w:space="0" w:color="auto"/>
            </w:tcBorders>
            <w:vAlign w:val="center"/>
          </w:tcPr>
          <w:p w:rsidR="008E7C52" w:rsidRPr="0096640B" w:rsidRDefault="008E7C52" w:rsidP="0096640B">
            <w:pPr>
              <w:jc w:val="center"/>
              <w:rPr>
                <w:sz w:val="18"/>
                <w:szCs w:val="18"/>
              </w:rPr>
            </w:pPr>
            <w:r w:rsidRPr="0096640B">
              <w:rPr>
                <w:sz w:val="18"/>
                <w:szCs w:val="18"/>
              </w:rPr>
              <w:t>-</w:t>
            </w:r>
            <w:r w:rsidR="00586D47" w:rsidRPr="0096640B">
              <w:rPr>
                <w:sz w:val="18"/>
                <w:szCs w:val="18"/>
              </w:rPr>
              <w:t>0,</w:t>
            </w:r>
            <w:r w:rsidRPr="0096640B">
              <w:rPr>
                <w:sz w:val="18"/>
                <w:szCs w:val="18"/>
              </w:rPr>
              <w:t>59%</w:t>
            </w:r>
          </w:p>
        </w:tc>
      </w:tr>
      <w:tr w:rsidR="0044215B" w:rsidRPr="00BE4E54" w:rsidTr="0096640B">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44215B" w:rsidRPr="0096640B" w:rsidRDefault="0044215B" w:rsidP="0096640B">
            <w:pPr>
              <w:pStyle w:val="Bezmezer"/>
              <w:jc w:val="center"/>
              <w:rPr>
                <w:b/>
                <w:sz w:val="18"/>
                <w:szCs w:val="18"/>
              </w:rPr>
            </w:pPr>
            <w:r w:rsidRPr="0096640B">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44215B" w:rsidRPr="0096640B" w:rsidRDefault="0044215B" w:rsidP="0096640B">
            <w:pPr>
              <w:jc w:val="center"/>
              <w:rPr>
                <w:sz w:val="18"/>
                <w:szCs w:val="18"/>
              </w:rPr>
            </w:pPr>
            <w:r w:rsidRPr="0096640B">
              <w:rPr>
                <w:sz w:val="18"/>
                <w:szCs w:val="18"/>
              </w:rPr>
              <w:t>18 737</w:t>
            </w:r>
          </w:p>
        </w:tc>
        <w:tc>
          <w:tcPr>
            <w:tcW w:w="727" w:type="pct"/>
            <w:tcBorders>
              <w:top w:val="single" w:sz="6" w:space="0" w:color="auto"/>
              <w:left w:val="single" w:sz="6" w:space="0" w:color="auto"/>
              <w:bottom w:val="double" w:sz="4" w:space="0" w:color="auto"/>
              <w:right w:val="single" w:sz="6" w:space="0" w:color="auto"/>
            </w:tcBorders>
            <w:vAlign w:val="center"/>
          </w:tcPr>
          <w:p w:rsidR="0044215B" w:rsidRPr="0096640B" w:rsidRDefault="0044215B" w:rsidP="0096640B">
            <w:pPr>
              <w:jc w:val="center"/>
              <w:rPr>
                <w:sz w:val="18"/>
                <w:szCs w:val="18"/>
              </w:rPr>
            </w:pPr>
            <w:r w:rsidRPr="0096640B">
              <w:rPr>
                <w:sz w:val="18"/>
                <w:szCs w:val="18"/>
              </w:rPr>
              <w:t>-24</w:t>
            </w:r>
          </w:p>
        </w:tc>
        <w:tc>
          <w:tcPr>
            <w:tcW w:w="727" w:type="pct"/>
            <w:tcBorders>
              <w:top w:val="single" w:sz="6" w:space="0" w:color="auto"/>
              <w:left w:val="single" w:sz="6" w:space="0" w:color="auto"/>
              <w:bottom w:val="double" w:sz="4" w:space="0" w:color="auto"/>
              <w:right w:val="double" w:sz="4" w:space="0" w:color="auto"/>
            </w:tcBorders>
            <w:vAlign w:val="center"/>
          </w:tcPr>
          <w:p w:rsidR="0044215B" w:rsidRPr="0096640B" w:rsidRDefault="0044215B" w:rsidP="0096640B">
            <w:pPr>
              <w:jc w:val="center"/>
              <w:rPr>
                <w:sz w:val="18"/>
                <w:szCs w:val="18"/>
              </w:rPr>
            </w:pPr>
            <w:r w:rsidRPr="0096640B">
              <w:rPr>
                <w:sz w:val="18"/>
                <w:szCs w:val="18"/>
              </w:rPr>
              <w:t>-</w:t>
            </w:r>
            <w:r w:rsidR="00586D47" w:rsidRPr="0096640B">
              <w:rPr>
                <w:sz w:val="18"/>
                <w:szCs w:val="18"/>
              </w:rPr>
              <w:t>0,</w:t>
            </w:r>
            <w:r w:rsidRPr="0096640B">
              <w:rPr>
                <w:sz w:val="18"/>
                <w:szCs w:val="18"/>
              </w:rPr>
              <w:t>13%</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44215B" w:rsidRPr="0096640B" w:rsidRDefault="0044215B" w:rsidP="0096640B">
            <w:pPr>
              <w:pStyle w:val="Bezmezer"/>
              <w:keepNext/>
              <w:jc w:val="center"/>
              <w:rPr>
                <w:sz w:val="18"/>
                <w:szCs w:val="18"/>
              </w:rPr>
            </w:pPr>
          </w:p>
        </w:tc>
      </w:tr>
    </w:tbl>
    <w:p w:rsidR="002D5D71" w:rsidRDefault="002D5D71" w:rsidP="00D4363C">
      <w:pPr>
        <w:pStyle w:val="Tabulka"/>
      </w:pPr>
      <w:bookmarkStart w:id="24" w:name="_Toc469908885"/>
      <w:r>
        <w:t xml:space="preserve">Tab. </w:t>
      </w:r>
      <w:r w:rsidR="005D1BD9">
        <w:fldChar w:fldCharType="begin"/>
      </w:r>
      <w:r w:rsidR="005D1BD9">
        <w:instrText xml:space="preserve"> SEQ Tab. \* ARABIC </w:instrText>
      </w:r>
      <w:r w:rsidR="005D1BD9">
        <w:fldChar w:fldCharType="separate"/>
      </w:r>
      <w:r w:rsidR="003A35BB">
        <w:rPr>
          <w:noProof/>
        </w:rPr>
        <w:t>11</w:t>
      </w:r>
      <w:r w:rsidR="005D1BD9">
        <w:rPr>
          <w:noProof/>
        </w:rPr>
        <w:fldChar w:fldCharType="end"/>
      </w:r>
      <w:r w:rsidR="001E21CC">
        <w:rPr>
          <w:noProof/>
        </w:rPr>
        <w:t xml:space="preserve"> Vývoj počtu obyvatel SO ORP Mohelnice mezi lety 1991 – 2015</w:t>
      </w:r>
      <w:bookmarkEnd w:id="24"/>
    </w:p>
    <w:p w:rsidR="007362A9" w:rsidRPr="00B842F9" w:rsidRDefault="007362A9" w:rsidP="007362A9">
      <w:r w:rsidRPr="00B842F9">
        <w:t xml:space="preserve">Počet zemřelých v SO ORP </w:t>
      </w:r>
      <w:r w:rsidR="00F35866" w:rsidRPr="00B842F9">
        <w:t>Mohelnice</w:t>
      </w:r>
      <w:r w:rsidRPr="00B842F9">
        <w:t xml:space="preserve"> poprvé překonal počet živě narozených v roce 199</w:t>
      </w:r>
      <w:r w:rsidR="00EF3A7C" w:rsidRPr="00B842F9">
        <w:t>9</w:t>
      </w:r>
      <w:r w:rsidRPr="00B842F9">
        <w:t xml:space="preserve"> (</w:t>
      </w:r>
      <w:r w:rsidR="00EF3A7C" w:rsidRPr="00B842F9">
        <w:t>161</w:t>
      </w:r>
      <w:r w:rsidRPr="00B842F9">
        <w:t xml:space="preserve"> živě narozených, </w:t>
      </w:r>
      <w:r w:rsidR="00EF3A7C" w:rsidRPr="00B842F9">
        <w:t>172</w:t>
      </w:r>
      <w:r w:rsidRPr="00B842F9">
        <w:t xml:space="preserve"> zemřelých)</w:t>
      </w:r>
      <w:r w:rsidR="003D67A8" w:rsidRPr="00B842F9">
        <w:t>.</w:t>
      </w:r>
      <w:r w:rsidRPr="00B842F9">
        <w:t xml:space="preserve"> </w:t>
      </w:r>
      <w:r w:rsidR="003D67A8" w:rsidRPr="00B842F9">
        <w:t>O</w:t>
      </w:r>
      <w:r w:rsidRPr="00B842F9">
        <w:t>d té</w:t>
      </w:r>
      <w:r w:rsidR="003D67A8" w:rsidRPr="00B842F9">
        <w:t>to</w:t>
      </w:r>
      <w:r w:rsidRPr="00B842F9">
        <w:t xml:space="preserve"> doby</w:t>
      </w:r>
      <w:r w:rsidR="003D67A8" w:rsidRPr="00B842F9">
        <w:t xml:space="preserve"> roky s vyšším počtem narozených stří</w:t>
      </w:r>
      <w:r w:rsidR="00493F1F">
        <w:t>daly</w:t>
      </w:r>
      <w:r w:rsidR="003D67A8" w:rsidRPr="00B842F9">
        <w:t xml:space="preserve"> roky s </w:t>
      </w:r>
      <w:r w:rsidR="00C24446" w:rsidRPr="00B842F9">
        <w:t>vyšším</w:t>
      </w:r>
      <w:r w:rsidR="003D67A8" w:rsidRPr="00B842F9">
        <w:t xml:space="preserve"> počtem zemřelých. </w:t>
      </w:r>
      <w:r w:rsidR="00661CF0" w:rsidRPr="00B842F9">
        <w:t>Počet narozených než zemřelých byl vyšší v letech 2000, 2004, 2006 – 2009.</w:t>
      </w:r>
      <w:r w:rsidR="00CA7A0E" w:rsidRPr="00B842F9">
        <w:t xml:space="preserve"> Od roku 2010 </w:t>
      </w:r>
      <w:r w:rsidR="00CA7A0E" w:rsidRPr="00B842F9">
        <w:lastRenderedPageBreak/>
        <w:t>převláda</w:t>
      </w:r>
      <w:r w:rsidR="00493F1F">
        <w:t>ly</w:t>
      </w:r>
      <w:r w:rsidR="00CA7A0E" w:rsidRPr="00B842F9">
        <w:t xml:space="preserve"> roky s vyšším počtem zemřelých.</w:t>
      </w:r>
      <w:r w:rsidR="00661CF0" w:rsidRPr="00B842F9">
        <w:t xml:space="preserve"> Zatím</w:t>
      </w:r>
      <w:r w:rsidRPr="00B842F9">
        <w:t xml:space="preserve">co roční počet </w:t>
      </w:r>
      <w:r w:rsidR="00CA7A0E" w:rsidRPr="00B842F9">
        <w:t>živě narozených</w:t>
      </w:r>
      <w:r w:rsidRPr="00B842F9">
        <w:t xml:space="preserve"> má převážně stagnující tendenci, počet </w:t>
      </w:r>
      <w:r w:rsidR="00CA7A0E" w:rsidRPr="00B842F9">
        <w:t>zemřelých</w:t>
      </w:r>
      <w:r w:rsidRPr="00B842F9">
        <w:t xml:space="preserve"> mírně </w:t>
      </w:r>
      <w:r w:rsidR="00CA7A0E" w:rsidRPr="00B842F9">
        <w:t>stoupá</w:t>
      </w:r>
      <w:r w:rsidRPr="00B842F9">
        <w:t>.</w:t>
      </w:r>
    </w:p>
    <w:p w:rsidR="007362A9" w:rsidRDefault="007362A9" w:rsidP="007362A9">
      <w:r w:rsidRPr="007E78A6">
        <w:t>Z hlediska přírůstku obyvatel stěhováním dochá</w:t>
      </w:r>
      <w:r w:rsidR="00493F1F">
        <w:t>zelo</w:t>
      </w:r>
      <w:r w:rsidRPr="007E78A6">
        <w:t xml:space="preserve"> v rámci SO ORP k</w:t>
      </w:r>
      <w:r w:rsidR="0051279C" w:rsidRPr="007E78A6">
        <w:t>e střídání období s roky pozitivními a negativními. Začátek 9</w:t>
      </w:r>
      <w:r w:rsidR="00586D47">
        <w:t>0,</w:t>
      </w:r>
      <w:r w:rsidR="0051279C" w:rsidRPr="007E78A6">
        <w:t xml:space="preserve"> let, kdy se úbytek pohyboval od 0,09 do 0,28 %, vystřídalo období mezi roky 1993 – 1999, kdy docházelo k meziročnímu růstu</w:t>
      </w:r>
      <w:r w:rsidR="001C501D" w:rsidRPr="007E78A6">
        <w:t xml:space="preserve"> až 0,37 %</w:t>
      </w:r>
      <w:r w:rsidR="0051279C" w:rsidRPr="007E78A6">
        <w:t xml:space="preserve"> počtu přistěhovaných obyvatel</w:t>
      </w:r>
      <w:r w:rsidR="00A15992" w:rsidRPr="007E78A6">
        <w:t>.</w:t>
      </w:r>
      <w:r w:rsidR="001C501D" w:rsidRPr="007E78A6">
        <w:t xml:space="preserve"> Od roku 2000 </w:t>
      </w:r>
      <w:r w:rsidR="00493F1F">
        <w:t>byl</w:t>
      </w:r>
      <w:r w:rsidR="001C501D" w:rsidRPr="007E78A6">
        <w:t xml:space="preserve"> počet </w:t>
      </w:r>
      <w:r w:rsidR="00055D73" w:rsidRPr="007E78A6">
        <w:t xml:space="preserve">roků s vyšším úbytky stěhovaných obyvatel, kdy maximem byl úbytek 0,48 % v roce 2014. Výjimku tvořili roky 2006 a 2007, kdy došlo k meziročnímu </w:t>
      </w:r>
      <w:r w:rsidR="007E78A6" w:rsidRPr="007E78A6">
        <w:t>nárůstu přistěhovaných obyvatel o 0,18 % a 0,05%.</w:t>
      </w:r>
    </w:p>
    <w:p w:rsidR="00AD6B94" w:rsidRDefault="005B344F" w:rsidP="00AD6B94">
      <w:pPr>
        <w:keepNext/>
      </w:pPr>
      <w:r>
        <w:rPr>
          <w:noProof/>
          <w:lang w:eastAsia="cs-CZ"/>
        </w:rPr>
        <w:drawing>
          <wp:inline distT="0" distB="0" distL="0" distR="0" wp14:anchorId="280BEBAB" wp14:editId="6C5CC673">
            <wp:extent cx="5760720" cy="3683897"/>
            <wp:effectExtent l="0" t="0" r="11430" b="1206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344F" w:rsidRDefault="00AD6B94" w:rsidP="00D4363C">
      <w:pPr>
        <w:pStyle w:val="Tabulka"/>
      </w:pPr>
      <w:bookmarkStart w:id="25" w:name="_Toc469908865"/>
      <w:r>
        <w:t xml:space="preserve">Graf </w:t>
      </w:r>
      <w:r w:rsidR="005D1BD9">
        <w:fldChar w:fldCharType="begin"/>
      </w:r>
      <w:r w:rsidR="005D1BD9">
        <w:instrText xml:space="preserve"> SEQ Graf \* ARABIC </w:instrText>
      </w:r>
      <w:r w:rsidR="005D1BD9">
        <w:fldChar w:fldCharType="separate"/>
      </w:r>
      <w:r w:rsidR="003A35BB">
        <w:rPr>
          <w:noProof/>
        </w:rPr>
        <w:t>6</w:t>
      </w:r>
      <w:r w:rsidR="005D1BD9">
        <w:rPr>
          <w:noProof/>
        </w:rPr>
        <w:fldChar w:fldCharType="end"/>
      </w:r>
      <w:r w:rsidR="0074624D">
        <w:rPr>
          <w:noProof/>
        </w:rPr>
        <w:t xml:space="preserve"> Vývoj a předpokládaný vývoj počtu obyvatel SO ORP Mohelnice v letech 1991 – 2050</w:t>
      </w:r>
      <w:bookmarkEnd w:id="25"/>
    </w:p>
    <w:p w:rsidR="00A41CEC" w:rsidRDefault="00A41CEC" w:rsidP="00A41CEC">
      <w:r w:rsidRPr="00B409BC">
        <w:t>Výh</w:t>
      </w:r>
      <w:r w:rsidR="00C4732A">
        <w:t>led počtu obyvatel SO ORP Mohelnice předpokládá</w:t>
      </w:r>
      <w:r w:rsidR="00C16DCB">
        <w:t xml:space="preserve"> </w:t>
      </w:r>
      <w:r w:rsidR="00B409BC" w:rsidRPr="00B409BC">
        <w:t xml:space="preserve">se </w:t>
      </w:r>
      <w:r w:rsidR="007E78A6" w:rsidRPr="00B409BC">
        <w:t>zpomalením</w:t>
      </w:r>
      <w:r w:rsidRPr="00B409BC">
        <w:t xml:space="preserve"> trendu úbytku počtu obyvatel</w:t>
      </w:r>
      <w:r w:rsidR="00B409BC" w:rsidRPr="00B409BC">
        <w:t xml:space="preserve"> a následnou stagnací</w:t>
      </w:r>
      <w:r w:rsidR="00C16DCB">
        <w:t xml:space="preserve"> jak zobrazuje </w:t>
      </w:r>
      <w:r w:rsidR="00C16DCB" w:rsidRPr="00C16DCB">
        <w:rPr>
          <w:i/>
        </w:rPr>
        <w:t>Graf 6 Vývoj a předpokládaný vývoj počtu obyvatel SO ORP Mohelnice v letech 1991 – 2050</w:t>
      </w:r>
      <w:r w:rsidR="00C16DCB">
        <w:rPr>
          <w:i/>
        </w:rPr>
        <w:t xml:space="preserve"> </w:t>
      </w:r>
      <w:r w:rsidR="00C16DCB">
        <w:t xml:space="preserve">a </w:t>
      </w:r>
      <w:r w:rsidR="00C16DCB" w:rsidRPr="00C16DCB">
        <w:rPr>
          <w:i/>
        </w:rPr>
        <w:t>Tab. 12 Předpokládaný vývoj počtu obyvatel SO ORP Mohelnice do roku 2050</w:t>
      </w:r>
      <w:r w:rsidR="00B409BC" w:rsidRPr="00B409BC">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14747B" w:rsidTr="00A23A7C">
        <w:tc>
          <w:tcPr>
            <w:tcW w:w="1000" w:type="pct"/>
            <w:tcBorders>
              <w:left w:val="double" w:sz="4" w:space="0" w:color="auto"/>
              <w:bottom w:val="double" w:sz="4" w:space="0" w:color="auto"/>
            </w:tcBorders>
            <w:shd w:val="clear" w:color="auto" w:fill="BCD9DE" w:themeFill="accent5" w:themeFillTint="66"/>
            <w:vAlign w:val="center"/>
          </w:tcPr>
          <w:p w:rsidR="0014747B" w:rsidRPr="004E092F" w:rsidRDefault="0014747B" w:rsidP="008E7C52">
            <w:pPr>
              <w:pStyle w:val="Bezmezer"/>
              <w:jc w:val="center"/>
              <w:rPr>
                <w:b/>
                <w:sz w:val="18"/>
              </w:rPr>
            </w:pPr>
            <w:r w:rsidRPr="004E092F">
              <w:rPr>
                <w:b/>
                <w:sz w:val="18"/>
              </w:rPr>
              <w:t>POČET OBYVATEL</w:t>
            </w:r>
          </w:p>
        </w:tc>
        <w:tc>
          <w:tcPr>
            <w:tcW w:w="1000" w:type="pct"/>
            <w:tcBorders>
              <w:bottom w:val="double" w:sz="4" w:space="0" w:color="auto"/>
            </w:tcBorders>
            <w:vAlign w:val="center"/>
          </w:tcPr>
          <w:p w:rsidR="0014747B" w:rsidRPr="00A23A7C" w:rsidRDefault="0014747B" w:rsidP="00A23A7C">
            <w:pPr>
              <w:jc w:val="center"/>
              <w:rPr>
                <w:sz w:val="18"/>
              </w:rPr>
            </w:pPr>
            <w:r w:rsidRPr="00A23A7C">
              <w:rPr>
                <w:sz w:val="18"/>
              </w:rPr>
              <w:t>18</w:t>
            </w:r>
            <w:r w:rsidR="00A23A7C" w:rsidRPr="00A23A7C">
              <w:rPr>
                <w:sz w:val="18"/>
              </w:rPr>
              <w:t xml:space="preserve"> </w:t>
            </w:r>
            <w:r w:rsidRPr="00A23A7C">
              <w:rPr>
                <w:sz w:val="18"/>
              </w:rPr>
              <w:t>389</w:t>
            </w:r>
          </w:p>
        </w:tc>
        <w:tc>
          <w:tcPr>
            <w:tcW w:w="1000" w:type="pct"/>
            <w:tcBorders>
              <w:bottom w:val="double" w:sz="4" w:space="0" w:color="auto"/>
            </w:tcBorders>
            <w:vAlign w:val="center"/>
          </w:tcPr>
          <w:p w:rsidR="0014747B" w:rsidRPr="00A23A7C" w:rsidRDefault="0014747B" w:rsidP="00A23A7C">
            <w:pPr>
              <w:jc w:val="center"/>
              <w:rPr>
                <w:sz w:val="18"/>
              </w:rPr>
            </w:pPr>
            <w:r w:rsidRPr="00A23A7C">
              <w:rPr>
                <w:sz w:val="18"/>
              </w:rPr>
              <w:t>18</w:t>
            </w:r>
            <w:r w:rsidR="00A23A7C" w:rsidRPr="00A23A7C">
              <w:rPr>
                <w:sz w:val="18"/>
              </w:rPr>
              <w:t xml:space="preserve"> </w:t>
            </w:r>
            <w:r w:rsidRPr="00A23A7C">
              <w:rPr>
                <w:sz w:val="18"/>
              </w:rPr>
              <w:t>411</w:t>
            </w:r>
          </w:p>
        </w:tc>
        <w:tc>
          <w:tcPr>
            <w:tcW w:w="1000" w:type="pct"/>
            <w:tcBorders>
              <w:bottom w:val="double" w:sz="4" w:space="0" w:color="auto"/>
            </w:tcBorders>
            <w:vAlign w:val="center"/>
          </w:tcPr>
          <w:p w:rsidR="0014747B" w:rsidRPr="00A23A7C" w:rsidRDefault="0014747B" w:rsidP="00A23A7C">
            <w:pPr>
              <w:jc w:val="center"/>
              <w:rPr>
                <w:sz w:val="18"/>
              </w:rPr>
            </w:pPr>
            <w:r w:rsidRPr="00A23A7C">
              <w:rPr>
                <w:sz w:val="18"/>
              </w:rPr>
              <w:t>18</w:t>
            </w:r>
            <w:r w:rsidR="00A23A7C" w:rsidRPr="00A23A7C">
              <w:rPr>
                <w:sz w:val="18"/>
              </w:rPr>
              <w:t xml:space="preserve"> </w:t>
            </w:r>
            <w:r w:rsidRPr="00A23A7C">
              <w:rPr>
                <w:sz w:val="18"/>
              </w:rPr>
              <w:t>427</w:t>
            </w:r>
          </w:p>
        </w:tc>
        <w:tc>
          <w:tcPr>
            <w:tcW w:w="1000" w:type="pct"/>
            <w:tcBorders>
              <w:bottom w:val="double" w:sz="4" w:space="0" w:color="auto"/>
              <w:right w:val="double" w:sz="4" w:space="0" w:color="auto"/>
            </w:tcBorders>
            <w:vAlign w:val="center"/>
          </w:tcPr>
          <w:p w:rsidR="0014747B" w:rsidRPr="00A23A7C" w:rsidRDefault="0014747B" w:rsidP="002D5D71">
            <w:pPr>
              <w:keepNext/>
              <w:jc w:val="center"/>
              <w:rPr>
                <w:sz w:val="18"/>
              </w:rPr>
            </w:pPr>
            <w:r w:rsidRPr="00A23A7C">
              <w:rPr>
                <w:sz w:val="18"/>
              </w:rPr>
              <w:t>18</w:t>
            </w:r>
            <w:r w:rsidR="00A23A7C" w:rsidRPr="00A23A7C">
              <w:rPr>
                <w:sz w:val="18"/>
              </w:rPr>
              <w:t xml:space="preserve"> </w:t>
            </w:r>
            <w:r w:rsidRPr="00A23A7C">
              <w:rPr>
                <w:sz w:val="18"/>
              </w:rPr>
              <w:t>368</w:t>
            </w:r>
          </w:p>
        </w:tc>
      </w:tr>
    </w:tbl>
    <w:p w:rsidR="002D5D71" w:rsidRDefault="002D5D71" w:rsidP="00D4363C">
      <w:pPr>
        <w:pStyle w:val="Tabulka"/>
        <w:rPr>
          <w:noProof/>
        </w:rPr>
      </w:pPr>
      <w:bookmarkStart w:id="26" w:name="_Toc469908886"/>
      <w:r>
        <w:t xml:space="preserve">Tab. </w:t>
      </w:r>
      <w:r w:rsidR="005D1BD9">
        <w:fldChar w:fldCharType="begin"/>
      </w:r>
      <w:r w:rsidR="005D1BD9">
        <w:instrText xml:space="preserve"> SEQ Tab. \* ARABIC </w:instrText>
      </w:r>
      <w:r w:rsidR="005D1BD9">
        <w:fldChar w:fldCharType="separate"/>
      </w:r>
      <w:r w:rsidR="003A35BB">
        <w:rPr>
          <w:noProof/>
        </w:rPr>
        <w:t>12</w:t>
      </w:r>
      <w:r w:rsidR="005D1BD9">
        <w:rPr>
          <w:noProof/>
        </w:rPr>
        <w:fldChar w:fldCharType="end"/>
      </w:r>
      <w:r w:rsidR="004D62E0">
        <w:rPr>
          <w:noProof/>
        </w:rPr>
        <w:t xml:space="preserve"> Předpokládaný vývoj počtu obyvatel SO ORP Mohelnice do roku 2050</w:t>
      </w:r>
      <w:bookmarkEnd w:id="26"/>
    </w:p>
    <w:p w:rsidR="00D4363C" w:rsidRDefault="00D4363C" w:rsidP="00D4363C"/>
    <w:p w:rsidR="00D4363C" w:rsidRDefault="00D4363C">
      <w:pPr>
        <w:spacing w:before="0" w:after="0"/>
        <w:jc w:val="left"/>
      </w:pPr>
      <w:r>
        <w:br w:type="page"/>
      </w:r>
    </w:p>
    <w:p w:rsidR="00893EB7" w:rsidRDefault="00893EB7" w:rsidP="007E78A6">
      <w:pPr>
        <w:pStyle w:val="Nadpis2"/>
      </w:pPr>
      <w:bookmarkStart w:id="27" w:name="_Toc469989350"/>
      <w:r w:rsidRPr="00F52857">
        <w:lastRenderedPageBreak/>
        <w:t>SO ORP Litovel</w:t>
      </w:r>
      <w:bookmarkEnd w:id="27"/>
    </w:p>
    <w:p w:rsidR="00473F05" w:rsidRDefault="00473F05" w:rsidP="00473F05">
      <w:r w:rsidRPr="007E3A45">
        <w:t xml:space="preserve">SO ORP </w:t>
      </w:r>
      <w:r w:rsidR="00B858B8">
        <w:t>Litovel</w:t>
      </w:r>
      <w:r w:rsidRPr="007E3A45">
        <w:t xml:space="preserve"> se nachází v</w:t>
      </w:r>
      <w:r w:rsidR="00B858B8">
        <w:t> západní části</w:t>
      </w:r>
      <w:r w:rsidRPr="007E3A45">
        <w:t xml:space="preserve"> Olomouckého kraje.</w:t>
      </w:r>
      <w:r>
        <w:t xml:space="preserve"> Na </w:t>
      </w:r>
      <w:r w:rsidR="00B858B8">
        <w:t>severu sousedí s SO ORP Mohelnice a Uničov, na jihovýchodě s SO ORP Olomouc, na jihu s SO ORP Prostějov a na jihozápadě SO ORP Konice</w:t>
      </w:r>
      <w:r>
        <w:t>.</w:t>
      </w:r>
      <w:r w:rsidRPr="007E3A45">
        <w:t xml:space="preserve"> </w:t>
      </w:r>
      <w:r w:rsidR="00B858B8">
        <w:t>Na západě sousedí s Pardubickým krajem</w:t>
      </w:r>
      <w:r>
        <w:t xml:space="preserve">. SO ORP </w:t>
      </w:r>
      <w:r w:rsidR="00B858B8">
        <w:t>Litovel</w:t>
      </w:r>
      <w:r>
        <w:t xml:space="preserve"> zahrnuje </w:t>
      </w:r>
      <w:r w:rsidRPr="00F1188E">
        <w:t>2</w:t>
      </w:r>
      <w:r w:rsidR="00B858B8">
        <w:t>0</w:t>
      </w:r>
      <w:r w:rsidRPr="00F1188E">
        <w:t xml:space="preserve"> obcí -</w:t>
      </w:r>
      <w:r>
        <w:t xml:space="preserve"> </w:t>
      </w:r>
      <w:r w:rsidR="00B858B8" w:rsidRPr="00B858B8">
        <w:t>Bílá Lhota, Bílsko, Bouzov, Červenka, Dubčany, Haňovice, Cholina, Litovel, Loučka, Luká, Měrotín, Mla</w:t>
      </w:r>
      <w:r w:rsidR="00B858B8">
        <w:t>deč, Náklo, Olbramice, Pňovice</w:t>
      </w:r>
      <w:r w:rsidR="00B858B8" w:rsidRPr="00B858B8">
        <w:t>, Senice na Hané, Senička, Slavětín, Střeň, Vilémov</w:t>
      </w:r>
      <w:r w:rsidR="00B858B8">
        <w:t xml:space="preserve">. </w:t>
      </w:r>
      <w:r w:rsidR="00B858B8" w:rsidRPr="00B858B8">
        <w:t xml:space="preserve">Obcí s největším počtem obyvatel k 31. 12. 2015 bylo město </w:t>
      </w:r>
      <w:r w:rsidR="00B858B8">
        <w:t>Litovel</w:t>
      </w:r>
      <w:r w:rsidR="00B858B8" w:rsidRPr="00B858B8">
        <w:t xml:space="preserve"> s 9 </w:t>
      </w:r>
      <w:r w:rsidR="00B858B8">
        <w:t>879</w:t>
      </w:r>
      <w:r w:rsidR="00B858B8" w:rsidRPr="00B858B8">
        <w:t xml:space="preserve"> obyvateli, nejmenší pak byla obce </w:t>
      </w:r>
      <w:r w:rsidR="00B858B8">
        <w:t>Loučka</w:t>
      </w:r>
      <w:r w:rsidR="00B858B8" w:rsidRPr="00B858B8">
        <w:t xml:space="preserve">, která měla k 31. 12. 2015 </w:t>
      </w:r>
      <w:r w:rsidR="00B858B8">
        <w:t>208</w:t>
      </w:r>
      <w:r w:rsidR="00B858B8" w:rsidRPr="00B858B8">
        <w:t xml:space="preserve"> evidovaných obyvatel.</w:t>
      </w:r>
    </w:p>
    <w:p w:rsidR="00473F05" w:rsidRDefault="00473F05" w:rsidP="00473F05">
      <w:r>
        <w:t xml:space="preserve">K 31. 12. 2015 bylo v SO ORP </w:t>
      </w:r>
      <w:r w:rsidR="00EF40DE">
        <w:t>Litovel</w:t>
      </w:r>
      <w:r>
        <w:t xml:space="preserve"> evidováno </w:t>
      </w:r>
      <w:r w:rsidR="00EF40DE">
        <w:t>23 771</w:t>
      </w:r>
      <w:r w:rsidR="00EF40DE" w:rsidRPr="00EF40DE">
        <w:t xml:space="preserve">, </w:t>
      </w:r>
      <w:r w:rsidR="00EF40DE">
        <w:t>obyvatel, což tvořilo 3</w:t>
      </w:r>
      <w:r>
        <w:t>,</w:t>
      </w:r>
      <w:r w:rsidR="00EF40DE">
        <w:t>7</w:t>
      </w:r>
      <w:r>
        <w:t xml:space="preserve"> % z celkového počtu obyvatel Olomouckého kraje. Vývoj počtu obyvatel v SO ORP </w:t>
      </w:r>
      <w:r w:rsidR="00EF40DE">
        <w:t>Litovel</w:t>
      </w:r>
      <w:r>
        <w:t xml:space="preserve"> mezi</w:t>
      </w:r>
      <w:r w:rsidR="00EF40DE">
        <w:t xml:space="preserve"> lety 1991 – 2015 stagnoval</w:t>
      </w:r>
      <w:r>
        <w:t xml:space="preserve">. </w:t>
      </w:r>
      <w:r w:rsidR="00EF40DE">
        <w:t>Meziroční změny se pohybovaly v</w:t>
      </w:r>
      <w:r w:rsidR="004F7814">
        <w:t xml:space="preserve"> </w:t>
      </w:r>
      <w:r w:rsidR="00EF40DE">
        <w:t xml:space="preserve">intervalu </w:t>
      </w:r>
      <w:r w:rsidR="004F7814">
        <w:t xml:space="preserve">od </w:t>
      </w:r>
      <w:r w:rsidR="00EF40DE">
        <w:t>0,37 %</w:t>
      </w:r>
      <w:r w:rsidR="004F7814">
        <w:t xml:space="preserve"> při poklesu</w:t>
      </w:r>
      <w:r w:rsidR="00EF40DE">
        <w:t xml:space="preserve"> po </w:t>
      </w:r>
      <w:r w:rsidR="004F7814">
        <w:t xml:space="preserve">0,30 % u </w:t>
      </w:r>
      <w:r w:rsidR="00EF40DE">
        <w:t>nárůst</w:t>
      </w:r>
      <w:r w:rsidR="004F7814">
        <w:t>u.</w:t>
      </w:r>
      <w:r w:rsidR="00EF40DE">
        <w:t xml:space="preserve"> Výraznější propad nasta</w:t>
      </w:r>
      <w:r w:rsidR="004F7814">
        <w:t>l</w:t>
      </w:r>
      <w:r w:rsidR="00EF40DE">
        <w:t xml:space="preserve"> </w:t>
      </w:r>
      <w:r w:rsidR="004F7814">
        <w:t xml:space="preserve">v </w:t>
      </w:r>
      <w:r w:rsidR="00EF40DE">
        <w:t xml:space="preserve">roce 1996, kdy došlo k meziročnímu poklesu počtu obyvatel o 0,51 %. </w:t>
      </w:r>
      <w:r w:rsidR="004F7814">
        <w:t>Naopak v roce 2007 došlo ke skokovému nárůstu o 0,94 %. Díky tomu</w:t>
      </w:r>
      <w:r w:rsidR="00175145">
        <w:t xml:space="preserve">, jak je uvedeno v </w:t>
      </w:r>
      <w:r w:rsidR="00175145" w:rsidRPr="00175145">
        <w:rPr>
          <w:i/>
        </w:rPr>
        <w:t>Tab. 13 Vývoj počtu obyvatel SO ORP Litovel mezi lety 1991 – 2015</w:t>
      </w:r>
      <w:r w:rsidR="00175145">
        <w:t>,</w:t>
      </w:r>
      <w:r w:rsidR="004F7814">
        <w:t xml:space="preserve"> p</w:t>
      </w:r>
      <w:r>
        <w:t xml:space="preserve">očet obyvatel mezi lety 1991 – 2015 </w:t>
      </w:r>
      <w:r w:rsidR="004F7814">
        <w:t>vzrostl</w:t>
      </w:r>
      <w:r>
        <w:t xml:space="preserve"> z původních </w:t>
      </w:r>
      <w:r w:rsidR="004F7814">
        <w:t>23 582</w:t>
      </w:r>
      <w:r>
        <w:t xml:space="preserve"> o </w:t>
      </w:r>
      <w:r w:rsidR="004F7814">
        <w:t>189</w:t>
      </w:r>
      <w:r>
        <w:t xml:space="preserve"> na </w:t>
      </w:r>
      <w:r w:rsidR="004F7814">
        <w:t>23 771</w:t>
      </w:r>
      <w:r>
        <w:t xml:space="preserve"> obyvatel.</w:t>
      </w:r>
    </w:p>
    <w:p w:rsidR="00473F05" w:rsidRDefault="00EC5B84" w:rsidP="00473F05">
      <w:r w:rsidRPr="005B6ABD">
        <w:t>V</w:t>
      </w:r>
      <w:r w:rsidR="00473F05" w:rsidRPr="005B6ABD">
        <w:t> posledních letech (2010 – 2015)</w:t>
      </w:r>
      <w:r w:rsidRPr="005B6ABD">
        <w:t>,</w:t>
      </w:r>
      <w:r w:rsidR="00473F05" w:rsidRPr="005B6ABD">
        <w:t xml:space="preserve"> poměrově vzhledem k počtu obyvatel</w:t>
      </w:r>
      <w:r w:rsidRPr="005B6ABD">
        <w:t>,</w:t>
      </w:r>
      <w:r w:rsidR="00473F05" w:rsidRPr="005B6ABD">
        <w:t xml:space="preserve"> </w:t>
      </w:r>
      <w:r w:rsidRPr="005B6ABD">
        <w:t>nastal největší úbytek obyvatel v obci</w:t>
      </w:r>
      <w:r w:rsidR="00473F05" w:rsidRPr="005B6ABD">
        <w:t xml:space="preserve"> </w:t>
      </w:r>
      <w:r w:rsidR="000A4670" w:rsidRPr="005B6ABD">
        <w:t>Vilémov</w:t>
      </w:r>
      <w:r w:rsidRPr="005B6ABD">
        <w:t>,</w:t>
      </w:r>
      <w:r w:rsidR="00473F05" w:rsidRPr="005B6ABD">
        <w:t xml:space="preserve"> kde počet obyvatel klesl z</w:t>
      </w:r>
      <w:r w:rsidR="000A4670" w:rsidRPr="005B6ABD">
        <w:t> </w:t>
      </w:r>
      <w:r w:rsidR="00473F05" w:rsidRPr="005B6ABD">
        <w:t>pů</w:t>
      </w:r>
      <w:r w:rsidR="000A4670" w:rsidRPr="005B6ABD">
        <w:t>vodních 461 na 432</w:t>
      </w:r>
      <w:r w:rsidR="00473F05" w:rsidRPr="005B6ABD">
        <w:t xml:space="preserve"> obyvatel, tj.</w:t>
      </w:r>
      <w:r w:rsidR="000A4670" w:rsidRPr="005B6ABD">
        <w:t xml:space="preserve"> </w:t>
      </w:r>
      <w:r w:rsidR="00EC2388">
        <w:t xml:space="preserve">o </w:t>
      </w:r>
      <w:r w:rsidR="000A4670" w:rsidRPr="005B6ABD">
        <w:t>6,3</w:t>
      </w:r>
      <w:r w:rsidR="00473F05" w:rsidRPr="005B6ABD">
        <w:t xml:space="preserve"> %. Naopak </w:t>
      </w:r>
      <w:r w:rsidR="007C7974" w:rsidRPr="005B6ABD">
        <w:t>největší nárůst zaznamenala</w:t>
      </w:r>
      <w:r w:rsidR="00473F05" w:rsidRPr="005B6ABD">
        <w:t xml:space="preserve"> obec </w:t>
      </w:r>
      <w:r w:rsidR="000A4670" w:rsidRPr="005B6ABD">
        <w:t>Střeň</w:t>
      </w:r>
      <w:r w:rsidR="00473F05" w:rsidRPr="005B6ABD">
        <w:t xml:space="preserve">, kde počet obyvatel mezi lety 2010 - 2015 vzrostl z </w:t>
      </w:r>
      <w:r w:rsidR="000A4670" w:rsidRPr="005B6ABD">
        <w:t>575</w:t>
      </w:r>
      <w:r w:rsidR="00473F05" w:rsidRPr="005B6ABD">
        <w:t xml:space="preserve"> na </w:t>
      </w:r>
      <w:r w:rsidR="000A4670" w:rsidRPr="005B6ABD">
        <w:t>608</w:t>
      </w:r>
      <w:r w:rsidRPr="005B6ABD">
        <w:t xml:space="preserve"> obyvatel, což </w:t>
      </w:r>
      <w:r w:rsidR="00175145">
        <w:t>činilo</w:t>
      </w:r>
      <w:r w:rsidR="00473F05" w:rsidRPr="005B6ABD">
        <w:t xml:space="preserve"> přírůstek</w:t>
      </w:r>
      <w:r w:rsidRPr="005B6ABD">
        <w:t xml:space="preserve"> 5,7 %</w:t>
      </w:r>
      <w:r w:rsidR="00473F05" w:rsidRPr="005B6ABD">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E54588">
        <w:trPr>
          <w:cantSplit/>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23 582</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67</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28%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23 435</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-59</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25%</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23 620</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38</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16%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23 414</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-21</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09%</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23 627</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7</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03%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23 451</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37</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16%</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23 648</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21</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09%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23 674</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223</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94%</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23 561</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-87</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37%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23 627</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-47</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20%</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23 443</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-118</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50%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23 697</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70</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30%</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23 468</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25</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11%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23 653</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-44</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19%</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23 435</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-33</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14%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23 688</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53</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22%</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23 447</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12</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05%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23 727</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39</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16%</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23 428</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-19</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08%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23 748</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21</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09%</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23 398</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11</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05%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23 804</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56</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24%</w:t>
            </w:r>
          </w:p>
        </w:tc>
      </w:tr>
      <w:tr w:rsidR="003D5708" w:rsidRPr="00BE4E54" w:rsidTr="00981FB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23 425</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27</w:t>
            </w:r>
          </w:p>
        </w:tc>
        <w:tc>
          <w:tcPr>
            <w:tcW w:w="727" w:type="pct"/>
            <w:tcBorders>
              <w:top w:val="single" w:sz="6" w:space="0" w:color="auto"/>
              <w:left w:val="single" w:sz="6" w:space="0" w:color="auto"/>
              <w:bottom w:val="single" w:sz="6" w:space="0" w:color="auto"/>
              <w:right w:val="double" w:sz="4" w:space="0" w:color="auto"/>
            </w:tcBorders>
            <w:vAlign w:val="center"/>
          </w:tcPr>
          <w:p w:rsidR="003D5708" w:rsidRPr="005B6ABD" w:rsidRDefault="00586D47" w:rsidP="005B6ABD">
            <w:pPr>
              <w:jc w:val="center"/>
              <w:rPr>
                <w:sz w:val="18"/>
                <w:szCs w:val="18"/>
              </w:rPr>
            </w:pPr>
            <w:r>
              <w:rPr>
                <w:sz w:val="18"/>
                <w:szCs w:val="18"/>
              </w:rPr>
              <w:t>0,</w:t>
            </w:r>
            <w:r w:rsidR="003D5708" w:rsidRPr="005B6ABD">
              <w:rPr>
                <w:sz w:val="18"/>
                <w:szCs w:val="18"/>
              </w:rPr>
              <w:t>12%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D5708" w:rsidRPr="005B6ABD" w:rsidRDefault="003D5708" w:rsidP="005B6ABD">
            <w:pPr>
              <w:pStyle w:val="Bezmezer"/>
              <w:jc w:val="center"/>
              <w:rPr>
                <w:b/>
                <w:sz w:val="18"/>
                <w:szCs w:val="18"/>
              </w:rPr>
            </w:pPr>
            <w:r w:rsidRPr="005B6ABD">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23 771</w:t>
            </w:r>
          </w:p>
        </w:tc>
        <w:tc>
          <w:tcPr>
            <w:tcW w:w="727" w:type="pct"/>
            <w:tcBorders>
              <w:top w:val="single" w:sz="6" w:space="0" w:color="auto"/>
              <w:left w:val="single" w:sz="6" w:space="0" w:color="auto"/>
              <w:bottom w:val="single" w:sz="6" w:space="0" w:color="auto"/>
              <w:right w:val="single" w:sz="6" w:space="0" w:color="auto"/>
            </w:tcBorders>
            <w:vAlign w:val="center"/>
          </w:tcPr>
          <w:p w:rsidR="003D5708" w:rsidRPr="005B6ABD" w:rsidRDefault="003D5708" w:rsidP="005B6ABD">
            <w:pPr>
              <w:jc w:val="center"/>
              <w:rPr>
                <w:sz w:val="18"/>
                <w:szCs w:val="18"/>
              </w:rPr>
            </w:pPr>
            <w:r w:rsidRPr="005B6ABD">
              <w:rPr>
                <w:sz w:val="18"/>
                <w:szCs w:val="18"/>
              </w:rPr>
              <w:t>-33</w:t>
            </w:r>
          </w:p>
        </w:tc>
        <w:tc>
          <w:tcPr>
            <w:tcW w:w="722" w:type="pct"/>
            <w:tcBorders>
              <w:top w:val="single" w:sz="6" w:space="0" w:color="auto"/>
              <w:left w:val="single" w:sz="6" w:space="0" w:color="auto"/>
              <w:bottom w:val="single" w:sz="6" w:space="0" w:color="auto"/>
              <w:right w:val="double" w:sz="4" w:space="0" w:color="auto"/>
            </w:tcBorders>
            <w:vAlign w:val="center"/>
          </w:tcPr>
          <w:p w:rsidR="003D5708" w:rsidRPr="005B6ABD" w:rsidRDefault="003D5708" w:rsidP="005B6ABD">
            <w:pPr>
              <w:jc w:val="center"/>
              <w:rPr>
                <w:sz w:val="18"/>
                <w:szCs w:val="18"/>
              </w:rPr>
            </w:pPr>
            <w:r w:rsidRPr="005B6ABD">
              <w:rPr>
                <w:sz w:val="18"/>
                <w:szCs w:val="18"/>
              </w:rPr>
              <w:t>-</w:t>
            </w:r>
            <w:r w:rsidR="00586D47">
              <w:rPr>
                <w:sz w:val="18"/>
                <w:szCs w:val="18"/>
              </w:rPr>
              <w:t>0,</w:t>
            </w:r>
            <w:r w:rsidRPr="005B6ABD">
              <w:rPr>
                <w:sz w:val="18"/>
                <w:szCs w:val="18"/>
              </w:rPr>
              <w:t>14%</w:t>
            </w:r>
          </w:p>
        </w:tc>
      </w:tr>
      <w:tr w:rsidR="005B6ABD" w:rsidRPr="00BE4E54" w:rsidTr="00981FBA">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5B6ABD" w:rsidRPr="005B6ABD" w:rsidRDefault="005B6ABD" w:rsidP="005B6ABD">
            <w:pPr>
              <w:pStyle w:val="Bezmezer"/>
              <w:jc w:val="center"/>
              <w:rPr>
                <w:b/>
                <w:sz w:val="18"/>
                <w:szCs w:val="18"/>
              </w:rPr>
            </w:pPr>
            <w:r w:rsidRPr="005B6ABD">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5B6ABD" w:rsidRPr="005B6ABD" w:rsidRDefault="005B6ABD" w:rsidP="005B6ABD">
            <w:pPr>
              <w:jc w:val="center"/>
              <w:rPr>
                <w:sz w:val="18"/>
                <w:szCs w:val="18"/>
              </w:rPr>
            </w:pPr>
            <w:r w:rsidRPr="005B6ABD">
              <w:rPr>
                <w:sz w:val="18"/>
                <w:szCs w:val="18"/>
              </w:rPr>
              <w:t>23 494</w:t>
            </w:r>
          </w:p>
        </w:tc>
        <w:tc>
          <w:tcPr>
            <w:tcW w:w="727" w:type="pct"/>
            <w:tcBorders>
              <w:top w:val="single" w:sz="6" w:space="0" w:color="auto"/>
              <w:left w:val="single" w:sz="6" w:space="0" w:color="auto"/>
              <w:bottom w:val="double" w:sz="4" w:space="0" w:color="auto"/>
              <w:right w:val="single" w:sz="6" w:space="0" w:color="auto"/>
            </w:tcBorders>
            <w:vAlign w:val="center"/>
          </w:tcPr>
          <w:p w:rsidR="005B6ABD" w:rsidRPr="005B6ABD" w:rsidRDefault="005B6ABD" w:rsidP="005B6ABD">
            <w:pPr>
              <w:jc w:val="center"/>
              <w:rPr>
                <w:sz w:val="18"/>
                <w:szCs w:val="18"/>
              </w:rPr>
            </w:pPr>
            <w:r w:rsidRPr="005B6ABD">
              <w:rPr>
                <w:sz w:val="18"/>
                <w:szCs w:val="18"/>
              </w:rPr>
              <w:t>69</w:t>
            </w:r>
          </w:p>
        </w:tc>
        <w:tc>
          <w:tcPr>
            <w:tcW w:w="727" w:type="pct"/>
            <w:tcBorders>
              <w:top w:val="single" w:sz="6" w:space="0" w:color="auto"/>
              <w:left w:val="single" w:sz="6" w:space="0" w:color="auto"/>
              <w:bottom w:val="double" w:sz="4" w:space="0" w:color="auto"/>
              <w:right w:val="double" w:sz="4" w:space="0" w:color="auto"/>
            </w:tcBorders>
            <w:vAlign w:val="center"/>
          </w:tcPr>
          <w:p w:rsidR="005B6ABD" w:rsidRPr="005B6ABD" w:rsidRDefault="00586D47" w:rsidP="005B6ABD">
            <w:pPr>
              <w:jc w:val="center"/>
              <w:rPr>
                <w:sz w:val="18"/>
                <w:szCs w:val="18"/>
              </w:rPr>
            </w:pPr>
            <w:r>
              <w:rPr>
                <w:sz w:val="18"/>
                <w:szCs w:val="18"/>
              </w:rPr>
              <w:t>0,</w:t>
            </w:r>
            <w:r w:rsidR="005B6ABD" w:rsidRPr="005B6ABD">
              <w:rPr>
                <w:sz w:val="18"/>
                <w:szCs w:val="18"/>
              </w:rPr>
              <w:t>29%</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5B6ABD" w:rsidRPr="005B6ABD" w:rsidRDefault="005B6ABD" w:rsidP="002D5D71">
            <w:pPr>
              <w:pStyle w:val="Bezmezer"/>
              <w:keepNext/>
              <w:jc w:val="center"/>
              <w:rPr>
                <w:sz w:val="18"/>
                <w:szCs w:val="18"/>
              </w:rPr>
            </w:pPr>
          </w:p>
        </w:tc>
      </w:tr>
    </w:tbl>
    <w:p w:rsidR="002D5D71" w:rsidRDefault="002D5D71" w:rsidP="001D204D">
      <w:pPr>
        <w:pStyle w:val="Tabulka"/>
        <w:rPr>
          <w:noProof/>
        </w:rPr>
      </w:pPr>
      <w:bookmarkStart w:id="28" w:name="_Toc469908887"/>
      <w:r>
        <w:t xml:space="preserve">Tab. </w:t>
      </w:r>
      <w:r w:rsidR="005D1BD9">
        <w:fldChar w:fldCharType="begin"/>
      </w:r>
      <w:r w:rsidR="005D1BD9">
        <w:instrText xml:space="preserve"> SEQ Tab. \* ARABIC </w:instrText>
      </w:r>
      <w:r w:rsidR="005D1BD9">
        <w:fldChar w:fldCharType="separate"/>
      </w:r>
      <w:r w:rsidR="003A35BB">
        <w:rPr>
          <w:noProof/>
        </w:rPr>
        <w:t>13</w:t>
      </w:r>
      <w:r w:rsidR="005D1BD9">
        <w:rPr>
          <w:noProof/>
        </w:rPr>
        <w:fldChar w:fldCharType="end"/>
      </w:r>
      <w:r w:rsidR="001E21CC">
        <w:rPr>
          <w:noProof/>
        </w:rPr>
        <w:t xml:space="preserve"> Vývoj počtu obyvatel SO ORP Litovel mezi lety 1991 – 2015</w:t>
      </w:r>
      <w:bookmarkEnd w:id="28"/>
    </w:p>
    <w:p w:rsidR="007362A9" w:rsidRPr="00906369" w:rsidRDefault="007362A9" w:rsidP="007362A9">
      <w:r w:rsidRPr="00906369">
        <w:t xml:space="preserve">Počet zemřelých v SO ORP </w:t>
      </w:r>
      <w:r w:rsidR="005B6ABD" w:rsidRPr="00906369">
        <w:t>Litovel</w:t>
      </w:r>
      <w:r w:rsidR="008529E5" w:rsidRPr="00906369">
        <w:t>,</w:t>
      </w:r>
      <w:r w:rsidRPr="00906369">
        <w:t xml:space="preserve"> </w:t>
      </w:r>
      <w:r w:rsidR="00821D4C" w:rsidRPr="00906369">
        <w:t>s výjimkou let 1992, 2009 a 2014</w:t>
      </w:r>
      <w:r w:rsidR="008529E5" w:rsidRPr="00906369">
        <w:t xml:space="preserve">, pravidelně </w:t>
      </w:r>
      <w:r w:rsidR="00906369" w:rsidRPr="00906369">
        <w:t>převyš</w:t>
      </w:r>
      <w:r w:rsidR="00175145">
        <w:t>oval</w:t>
      </w:r>
      <w:r w:rsidR="008529E5" w:rsidRPr="00906369">
        <w:t xml:space="preserve"> počet živě narozených</w:t>
      </w:r>
      <w:r w:rsidR="00906369" w:rsidRPr="00906369">
        <w:t>. Zatím</w:t>
      </w:r>
      <w:r w:rsidRPr="00906369">
        <w:t>co roční počet úmrtí m</w:t>
      </w:r>
      <w:r w:rsidR="00D868B5">
        <w:t>ěl</w:t>
      </w:r>
      <w:r w:rsidRPr="00906369">
        <w:t xml:space="preserve"> převážně stagnující tendenci, počet živě narozených mírně </w:t>
      </w:r>
      <w:r w:rsidR="00906369" w:rsidRPr="00906369">
        <w:t>rost</w:t>
      </w:r>
      <w:r w:rsidR="00D868B5">
        <w:t>l</w:t>
      </w:r>
      <w:r w:rsidRPr="00906369">
        <w:t>.</w:t>
      </w:r>
    </w:p>
    <w:p w:rsidR="007362A9" w:rsidRDefault="007362A9" w:rsidP="007362A9">
      <w:r w:rsidRPr="006E5FFB">
        <w:t>Z hlediska přírůstku obyvatel stěhováním docház</w:t>
      </w:r>
      <w:r w:rsidR="00D868B5">
        <w:t>elo</w:t>
      </w:r>
      <w:r w:rsidRPr="006E5FFB">
        <w:t xml:space="preserve"> v rámci SO ORP k dlouhodobému </w:t>
      </w:r>
      <w:r w:rsidR="00E81A69" w:rsidRPr="006E5FFB">
        <w:t>růstu. S </w:t>
      </w:r>
      <w:r w:rsidR="00E34988" w:rsidRPr="006E5FFB">
        <w:t>výjimkou</w:t>
      </w:r>
      <w:r w:rsidR="00E81A69" w:rsidRPr="006E5FFB">
        <w:t xml:space="preserve"> </w:t>
      </w:r>
      <w:r w:rsidR="00E34988" w:rsidRPr="006E5FFB">
        <w:t xml:space="preserve">let 1995, 2008, 2010 a 2015, kdy došlo k meziročnímu </w:t>
      </w:r>
      <w:r w:rsidR="00647A82" w:rsidRPr="006E5FFB">
        <w:t>úbytku přistěhovaných</w:t>
      </w:r>
      <w:r w:rsidR="00E34988" w:rsidRPr="006E5FFB">
        <w:t xml:space="preserve"> o 0,03 – 0,09 %</w:t>
      </w:r>
      <w:r w:rsidR="00647A82" w:rsidRPr="006E5FFB">
        <w:t xml:space="preserve">, </w:t>
      </w:r>
      <w:r w:rsidR="00DB3E82" w:rsidRPr="006E5FFB">
        <w:t>dosah</w:t>
      </w:r>
      <w:r w:rsidR="00D868B5">
        <w:t>oval</w:t>
      </w:r>
      <w:r w:rsidR="00DB3E82" w:rsidRPr="006E5FFB">
        <w:t xml:space="preserve"> počet přistěhovaných kladných hodnot. Maximem byl rok</w:t>
      </w:r>
      <w:r w:rsidR="006E5FFB" w:rsidRPr="006E5FFB">
        <w:t xml:space="preserve"> 2007, kdy se meziročně zvedl počet přistěhovaných o 0,96 %.</w:t>
      </w:r>
    </w:p>
    <w:p w:rsidR="00AD6B94" w:rsidRDefault="005B344F" w:rsidP="00AD6B94">
      <w:pPr>
        <w:keepNext/>
      </w:pPr>
      <w:r>
        <w:rPr>
          <w:noProof/>
          <w:lang w:eastAsia="cs-CZ"/>
        </w:rPr>
        <w:lastRenderedPageBreak/>
        <w:drawing>
          <wp:inline distT="0" distB="0" distL="0" distR="0" wp14:anchorId="3E3626FC" wp14:editId="3E82591B">
            <wp:extent cx="5760720" cy="3683897"/>
            <wp:effectExtent l="0" t="0" r="11430" b="1206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344F" w:rsidRDefault="00AD6B94" w:rsidP="001D204D">
      <w:pPr>
        <w:pStyle w:val="Tabulka"/>
      </w:pPr>
      <w:bookmarkStart w:id="29" w:name="_Toc469908866"/>
      <w:r>
        <w:t xml:space="preserve">Graf </w:t>
      </w:r>
      <w:r w:rsidR="005D1BD9">
        <w:fldChar w:fldCharType="begin"/>
      </w:r>
      <w:r w:rsidR="005D1BD9">
        <w:instrText xml:space="preserve"> SEQ Graf \* ARABIC </w:instrText>
      </w:r>
      <w:r w:rsidR="005D1BD9">
        <w:fldChar w:fldCharType="separate"/>
      </w:r>
      <w:r w:rsidR="003A35BB">
        <w:rPr>
          <w:noProof/>
        </w:rPr>
        <w:t>7</w:t>
      </w:r>
      <w:r w:rsidR="005D1BD9">
        <w:rPr>
          <w:noProof/>
        </w:rPr>
        <w:fldChar w:fldCharType="end"/>
      </w:r>
      <w:r w:rsidR="0074624D">
        <w:rPr>
          <w:noProof/>
        </w:rPr>
        <w:t xml:space="preserve"> Vývoj a předpokládaný vývoj počtu obyvatel SO ORP Litovel v letech 1991 – 2050</w:t>
      </w:r>
      <w:bookmarkEnd w:id="29"/>
    </w:p>
    <w:p w:rsidR="00F373EB" w:rsidRDefault="00F373EB" w:rsidP="00F373EB">
      <w:r w:rsidRPr="0005615E">
        <w:t>Výhled počtu obyvatel</w:t>
      </w:r>
      <w:r w:rsidR="00D868B5">
        <w:t xml:space="preserve"> SO ORP Litovel</w:t>
      </w:r>
      <w:r w:rsidRPr="0005615E">
        <w:t xml:space="preserve"> pře</w:t>
      </w:r>
      <w:r w:rsidR="00133016">
        <w:t xml:space="preserve">dpokládá </w:t>
      </w:r>
      <w:r w:rsidR="0005615E" w:rsidRPr="0005615E">
        <w:t>stagnující trend až mírný pokles</w:t>
      </w:r>
      <w:r w:rsidR="00133016">
        <w:t xml:space="preserve"> jak zobrazuje </w:t>
      </w:r>
      <w:r w:rsidR="00133016" w:rsidRPr="00133016">
        <w:rPr>
          <w:i/>
        </w:rPr>
        <w:t>Graf 7 Vývoj a předpokládaný vývoj počtu obyvatel SO ORP Litovel v letech 1991 – 2050</w:t>
      </w:r>
      <w:r w:rsidR="00133016">
        <w:t xml:space="preserve"> a </w:t>
      </w:r>
      <w:r w:rsidR="00133016" w:rsidRPr="00133016">
        <w:rPr>
          <w:i/>
        </w:rPr>
        <w:t>Tab. 14 Předpokládaný vývoj počtu obyvatel SO ORP Litovel do roku 2050.</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14747B" w:rsidTr="00981FBA">
        <w:tc>
          <w:tcPr>
            <w:tcW w:w="1000" w:type="pct"/>
            <w:tcBorders>
              <w:left w:val="double" w:sz="4" w:space="0" w:color="auto"/>
              <w:bottom w:val="double" w:sz="4" w:space="0" w:color="auto"/>
            </w:tcBorders>
            <w:shd w:val="clear" w:color="auto" w:fill="BCD9DE" w:themeFill="accent5" w:themeFillTint="66"/>
            <w:vAlign w:val="center"/>
          </w:tcPr>
          <w:p w:rsidR="0014747B" w:rsidRPr="004E092F" w:rsidRDefault="0014747B" w:rsidP="008E7C52">
            <w:pPr>
              <w:pStyle w:val="Bezmezer"/>
              <w:jc w:val="center"/>
              <w:rPr>
                <w:b/>
                <w:sz w:val="18"/>
              </w:rPr>
            </w:pPr>
            <w:r w:rsidRPr="004E092F">
              <w:rPr>
                <w:b/>
                <w:sz w:val="18"/>
              </w:rPr>
              <w:t>POČET OBYVATEL</w:t>
            </w:r>
          </w:p>
        </w:tc>
        <w:tc>
          <w:tcPr>
            <w:tcW w:w="1000" w:type="pct"/>
            <w:tcBorders>
              <w:bottom w:val="double" w:sz="4" w:space="0" w:color="auto"/>
            </w:tcBorders>
            <w:vAlign w:val="center"/>
          </w:tcPr>
          <w:p w:rsidR="0014747B" w:rsidRPr="00981FBA" w:rsidRDefault="0014747B" w:rsidP="00981FBA">
            <w:pPr>
              <w:jc w:val="center"/>
              <w:rPr>
                <w:sz w:val="18"/>
              </w:rPr>
            </w:pPr>
            <w:r w:rsidRPr="00981FBA">
              <w:rPr>
                <w:sz w:val="18"/>
              </w:rPr>
              <w:t>23</w:t>
            </w:r>
            <w:r w:rsidR="00981FBA" w:rsidRPr="00981FBA">
              <w:rPr>
                <w:sz w:val="18"/>
              </w:rPr>
              <w:t xml:space="preserve"> </w:t>
            </w:r>
            <w:r w:rsidRPr="00981FBA">
              <w:rPr>
                <w:sz w:val="18"/>
              </w:rPr>
              <w:t>607</w:t>
            </w:r>
          </w:p>
        </w:tc>
        <w:tc>
          <w:tcPr>
            <w:tcW w:w="1000" w:type="pct"/>
            <w:tcBorders>
              <w:bottom w:val="double" w:sz="4" w:space="0" w:color="auto"/>
            </w:tcBorders>
            <w:vAlign w:val="center"/>
          </w:tcPr>
          <w:p w:rsidR="0014747B" w:rsidRPr="00981FBA" w:rsidRDefault="0014747B" w:rsidP="00981FBA">
            <w:pPr>
              <w:jc w:val="center"/>
              <w:rPr>
                <w:sz w:val="18"/>
              </w:rPr>
            </w:pPr>
            <w:r w:rsidRPr="00981FBA">
              <w:rPr>
                <w:sz w:val="18"/>
              </w:rPr>
              <w:t>23</w:t>
            </w:r>
            <w:r w:rsidR="00981FBA" w:rsidRPr="00981FBA">
              <w:rPr>
                <w:sz w:val="18"/>
              </w:rPr>
              <w:t xml:space="preserve"> </w:t>
            </w:r>
            <w:r w:rsidRPr="00981FBA">
              <w:rPr>
                <w:sz w:val="18"/>
              </w:rPr>
              <w:t>556</w:t>
            </w:r>
          </w:p>
        </w:tc>
        <w:tc>
          <w:tcPr>
            <w:tcW w:w="1000" w:type="pct"/>
            <w:tcBorders>
              <w:bottom w:val="double" w:sz="4" w:space="0" w:color="auto"/>
            </w:tcBorders>
            <w:vAlign w:val="center"/>
          </w:tcPr>
          <w:p w:rsidR="0014747B" w:rsidRPr="00981FBA" w:rsidRDefault="0014747B" w:rsidP="00981FBA">
            <w:pPr>
              <w:jc w:val="center"/>
              <w:rPr>
                <w:sz w:val="18"/>
              </w:rPr>
            </w:pPr>
            <w:r w:rsidRPr="00981FBA">
              <w:rPr>
                <w:sz w:val="18"/>
              </w:rPr>
              <w:t>23</w:t>
            </w:r>
            <w:r w:rsidR="00981FBA" w:rsidRPr="00981FBA">
              <w:rPr>
                <w:sz w:val="18"/>
              </w:rPr>
              <w:t xml:space="preserve"> </w:t>
            </w:r>
            <w:r w:rsidRPr="00981FBA">
              <w:rPr>
                <w:sz w:val="18"/>
              </w:rPr>
              <w:t>470</w:t>
            </w:r>
          </w:p>
        </w:tc>
        <w:tc>
          <w:tcPr>
            <w:tcW w:w="1000" w:type="pct"/>
            <w:tcBorders>
              <w:bottom w:val="double" w:sz="4" w:space="0" w:color="auto"/>
              <w:right w:val="double" w:sz="4" w:space="0" w:color="auto"/>
            </w:tcBorders>
            <w:vAlign w:val="center"/>
          </w:tcPr>
          <w:p w:rsidR="0014747B" w:rsidRPr="00981FBA" w:rsidRDefault="0014747B" w:rsidP="00D43A20">
            <w:pPr>
              <w:keepNext/>
              <w:jc w:val="center"/>
              <w:rPr>
                <w:sz w:val="18"/>
              </w:rPr>
            </w:pPr>
            <w:r w:rsidRPr="00981FBA">
              <w:rPr>
                <w:sz w:val="18"/>
              </w:rPr>
              <w:t>23</w:t>
            </w:r>
            <w:r w:rsidR="00981FBA" w:rsidRPr="00981FBA">
              <w:rPr>
                <w:sz w:val="18"/>
              </w:rPr>
              <w:t xml:space="preserve"> </w:t>
            </w:r>
            <w:r w:rsidRPr="00981FBA">
              <w:rPr>
                <w:sz w:val="18"/>
              </w:rPr>
              <w:t>175</w:t>
            </w:r>
          </w:p>
        </w:tc>
      </w:tr>
    </w:tbl>
    <w:p w:rsidR="00D43A20" w:rsidRDefault="00D43A20" w:rsidP="001D204D">
      <w:pPr>
        <w:pStyle w:val="Tabulka"/>
        <w:rPr>
          <w:noProof/>
        </w:rPr>
      </w:pPr>
      <w:bookmarkStart w:id="30" w:name="_Toc469908888"/>
      <w:r>
        <w:t xml:space="preserve">Tab. </w:t>
      </w:r>
      <w:r w:rsidR="005D1BD9">
        <w:fldChar w:fldCharType="begin"/>
      </w:r>
      <w:r w:rsidR="005D1BD9">
        <w:instrText xml:space="preserve"> SEQ Tab. \* ARABIC </w:instrText>
      </w:r>
      <w:r w:rsidR="005D1BD9">
        <w:fldChar w:fldCharType="separate"/>
      </w:r>
      <w:r w:rsidR="003A35BB">
        <w:rPr>
          <w:noProof/>
        </w:rPr>
        <w:t>14</w:t>
      </w:r>
      <w:r w:rsidR="005D1BD9">
        <w:rPr>
          <w:noProof/>
        </w:rPr>
        <w:fldChar w:fldCharType="end"/>
      </w:r>
      <w:r w:rsidR="004D62E0">
        <w:rPr>
          <w:noProof/>
        </w:rPr>
        <w:t xml:space="preserve"> Předpokládaný vývoj počtu obyvatel SO ORP Litovel do roku 2050</w:t>
      </w:r>
      <w:bookmarkEnd w:id="30"/>
    </w:p>
    <w:p w:rsidR="001D204D" w:rsidRDefault="001D204D" w:rsidP="001D204D"/>
    <w:p w:rsidR="001D204D" w:rsidRDefault="001D204D">
      <w:pPr>
        <w:spacing w:before="0" w:after="0"/>
        <w:jc w:val="left"/>
      </w:pPr>
      <w:r>
        <w:br w:type="page"/>
      </w:r>
    </w:p>
    <w:p w:rsidR="00893EB7" w:rsidRDefault="00893EB7" w:rsidP="0005615E">
      <w:pPr>
        <w:pStyle w:val="Nadpis2"/>
      </w:pPr>
      <w:bookmarkStart w:id="31" w:name="_Toc469989351"/>
      <w:r w:rsidRPr="00F52857">
        <w:lastRenderedPageBreak/>
        <w:t>SO ORP Uničov</w:t>
      </w:r>
      <w:bookmarkEnd w:id="31"/>
    </w:p>
    <w:p w:rsidR="00473F05" w:rsidRDefault="00473F05" w:rsidP="00473F05">
      <w:r w:rsidRPr="007E3A45">
        <w:t xml:space="preserve">SO ORP </w:t>
      </w:r>
      <w:r w:rsidR="00016654">
        <w:t>Uničov se nachází ve střední</w:t>
      </w:r>
      <w:r w:rsidRPr="007E3A45">
        <w:t xml:space="preserve"> části Olomouckého kraje.</w:t>
      </w:r>
      <w:r>
        <w:t xml:space="preserve"> </w:t>
      </w:r>
      <w:r w:rsidR="00016654">
        <w:t>Na severu sousedí s SO ORP Šumperk, na západě s SO ORP Zábřeh a Mohelnice, na jihu s SO ORP Litovel a na východě s SO ORP Šternberk</w:t>
      </w:r>
      <w:r>
        <w:t>.</w:t>
      </w:r>
      <w:r w:rsidR="00016654">
        <w:t xml:space="preserve"> Na severovýchodě sousedí s Moravskoslezským krajem.</w:t>
      </w:r>
      <w:r>
        <w:t xml:space="preserve"> SO ORP </w:t>
      </w:r>
      <w:r w:rsidR="00016654">
        <w:t>Uničov</w:t>
      </w:r>
      <w:r>
        <w:t xml:space="preserve"> zahrnuje </w:t>
      </w:r>
      <w:r w:rsidR="00016654">
        <w:t>10</w:t>
      </w:r>
      <w:r w:rsidRPr="00F1188E">
        <w:t xml:space="preserve"> obcí -</w:t>
      </w:r>
      <w:r>
        <w:t xml:space="preserve"> </w:t>
      </w:r>
      <w:r w:rsidR="00016654" w:rsidRPr="00016654">
        <w:t>Dlouhá Loučka, Lipinka, Medlov, Nová Hradečná, Paseka, Šumvald, Troubelice, Újezd, Uničov, Želechovice</w:t>
      </w:r>
      <w:r w:rsidR="00016654">
        <w:t>.</w:t>
      </w:r>
      <w:r>
        <w:t xml:space="preserve"> </w:t>
      </w:r>
      <w:r w:rsidR="00044091" w:rsidRPr="00B858B8">
        <w:t xml:space="preserve">Obcí s největším počtem obyvatel k 31. 12. 2015 bylo město </w:t>
      </w:r>
      <w:r w:rsidR="00044091">
        <w:t>Uničov</w:t>
      </w:r>
      <w:r w:rsidR="00044091" w:rsidRPr="00B858B8">
        <w:t xml:space="preserve"> s</w:t>
      </w:r>
      <w:r w:rsidR="00044091">
        <w:t> 11 579</w:t>
      </w:r>
      <w:r w:rsidR="00044091" w:rsidRPr="00B858B8">
        <w:t xml:space="preserve"> obyvateli, nejmenší pak byla </w:t>
      </w:r>
      <w:r w:rsidR="009C1C9A">
        <w:t>obec</w:t>
      </w:r>
      <w:r w:rsidR="00044091" w:rsidRPr="00B858B8">
        <w:t xml:space="preserve"> </w:t>
      </w:r>
      <w:r w:rsidR="00044091">
        <w:t>Lipinka</w:t>
      </w:r>
      <w:r w:rsidR="00044091" w:rsidRPr="00B858B8">
        <w:t xml:space="preserve">, která měla k 31. 12. 2015 </w:t>
      </w:r>
      <w:r w:rsidR="00044091">
        <w:t>197</w:t>
      </w:r>
      <w:r w:rsidR="00044091" w:rsidRPr="00B858B8">
        <w:t xml:space="preserve"> evidovaných obyvatel.</w:t>
      </w:r>
    </w:p>
    <w:p w:rsidR="00473F05" w:rsidRDefault="00473F05" w:rsidP="00473F05">
      <w:r>
        <w:t xml:space="preserve">K 31. 12. 2015 bylo v SO ORP Jeseník evidováno </w:t>
      </w:r>
      <w:r w:rsidR="004F239E">
        <w:t xml:space="preserve">22 532 </w:t>
      </w:r>
      <w:r>
        <w:t xml:space="preserve">obyvatel, což tvořilo </w:t>
      </w:r>
      <w:r w:rsidR="004F239E">
        <w:t>3</w:t>
      </w:r>
      <w:r>
        <w:t>,</w:t>
      </w:r>
      <w:r w:rsidR="004F239E">
        <w:t>5</w:t>
      </w:r>
      <w:r>
        <w:t xml:space="preserve"> % z celkového počtu obyvatel Olomouckého kraje. Vývoj počtu obyvatel měl v SO ORP </w:t>
      </w:r>
      <w:r w:rsidR="00296C02">
        <w:t>Uničov</w:t>
      </w:r>
      <w:r>
        <w:t xml:space="preserve"> měl mezi lety 1991 – 2015 </w:t>
      </w:r>
      <w:r w:rsidR="00296C02">
        <w:t>stagnující až mírně klesající tendenci</w:t>
      </w:r>
      <w:r>
        <w:t xml:space="preserve">. </w:t>
      </w:r>
      <w:r w:rsidR="00296C02">
        <w:t>V 9</w:t>
      </w:r>
      <w:r w:rsidR="00586D47">
        <w:t>0,</w:t>
      </w:r>
      <w:r w:rsidR="00296C02">
        <w:t xml:space="preserve"> letech a prvním desetiletí nového tisíciletí počet obyvatel stagnoval a meziroční poklesy střídaly nárůsty v intervalu od 0,42 % při poklesu po 0,53 % u nárůstu. Od roku 2009 začalo docházet k postupnému poklesu počtu obyvatel, který se meziročně pohyboval mezi 0,08 – 0,59 %</w:t>
      </w:r>
      <w:r>
        <w:t xml:space="preserve">. </w:t>
      </w:r>
      <w:r w:rsidR="002E7495">
        <w:t xml:space="preserve">Jak uvádí </w:t>
      </w:r>
      <w:r w:rsidR="002E7495" w:rsidRPr="002E7495">
        <w:rPr>
          <w:i/>
        </w:rPr>
        <w:t>Tab. 15 Vývoj počtu obyvatel SO ORP Uničov mezi lety 1991 – 2015</w:t>
      </w:r>
      <w:r w:rsidR="002E7495">
        <w:t xml:space="preserve"> p</w:t>
      </w:r>
      <w:r>
        <w:t xml:space="preserve">očet obyvatel mezi lety 1991 – 2015 klesl z původních </w:t>
      </w:r>
      <w:r w:rsidR="00296C02">
        <w:t>23 181</w:t>
      </w:r>
      <w:r>
        <w:t xml:space="preserve"> o </w:t>
      </w:r>
      <w:r w:rsidR="00296C02">
        <w:t>649</w:t>
      </w:r>
      <w:r>
        <w:t xml:space="preserve"> na </w:t>
      </w:r>
      <w:r w:rsidR="006C08FA">
        <w:t>22 532</w:t>
      </w:r>
      <w:r>
        <w:t xml:space="preserve"> obyvatel.</w:t>
      </w:r>
    </w:p>
    <w:p w:rsidR="00473F05" w:rsidRDefault="00473F05" w:rsidP="00473F05">
      <w:r w:rsidRPr="0074482F">
        <w:t>Klesající tendenci obyvatel v posledních letech (2010 – 2015)</w:t>
      </w:r>
      <w:r w:rsidR="002E7495">
        <w:t>,</w:t>
      </w:r>
      <w:r w:rsidRPr="0074482F">
        <w:t xml:space="preserve"> poměrově vzhledem k počtu obyvatel</w:t>
      </w:r>
      <w:r w:rsidR="002E7495">
        <w:t>,</w:t>
      </w:r>
      <w:r w:rsidRPr="0074482F">
        <w:t xml:space="preserve"> pocítila nejvíce obec </w:t>
      </w:r>
      <w:r w:rsidR="00C72B9E" w:rsidRPr="0074482F">
        <w:t>Lipinka, kde</w:t>
      </w:r>
      <w:r w:rsidRPr="0074482F">
        <w:t xml:space="preserve"> počet obyvatel klesl z</w:t>
      </w:r>
      <w:r w:rsidR="00DA3913" w:rsidRPr="0074482F">
        <w:t> </w:t>
      </w:r>
      <w:r w:rsidRPr="0074482F">
        <w:t>původních</w:t>
      </w:r>
      <w:r w:rsidR="00DA3913" w:rsidRPr="0074482F">
        <w:t xml:space="preserve"> 206 na 197 </w:t>
      </w:r>
      <w:r w:rsidRPr="0074482F">
        <w:t xml:space="preserve">obyvatel, tj. </w:t>
      </w:r>
      <w:r w:rsidR="00DA3913" w:rsidRPr="0074482F">
        <w:t xml:space="preserve">o 4,4 </w:t>
      </w:r>
      <w:r w:rsidRPr="0074482F">
        <w:t xml:space="preserve">%. </w:t>
      </w:r>
      <w:r w:rsidR="00C72B9E" w:rsidRPr="0074482F">
        <w:t>Naopak</w:t>
      </w:r>
      <w:r w:rsidR="00C72B9E">
        <w:t xml:space="preserve"> opačný trend </w:t>
      </w:r>
      <w:r w:rsidRPr="0074482F">
        <w:t>vývoj</w:t>
      </w:r>
      <w:r w:rsidR="00C72B9E">
        <w:t>e</w:t>
      </w:r>
      <w:r w:rsidRPr="0074482F">
        <w:t xml:space="preserve"> počtu obyvatelstva v SO ORP </w:t>
      </w:r>
      <w:r w:rsidR="000305AB" w:rsidRPr="0074482F">
        <w:t>Uničov</w:t>
      </w:r>
      <w:r w:rsidRPr="0074482F">
        <w:t xml:space="preserve"> </w:t>
      </w:r>
      <w:r w:rsidR="00C72B9E">
        <w:t>měla</w:t>
      </w:r>
      <w:r w:rsidRPr="0074482F">
        <w:t xml:space="preserve"> obec </w:t>
      </w:r>
      <w:r w:rsidR="000305AB" w:rsidRPr="0074482F">
        <w:t>Želechovice,</w:t>
      </w:r>
      <w:r w:rsidRPr="0074482F">
        <w:t xml:space="preserve"> kde počet obyvatel mezi lety 2010 - 2015 vzrostl z </w:t>
      </w:r>
      <w:r w:rsidR="000305AB" w:rsidRPr="0074482F">
        <w:t>228</w:t>
      </w:r>
      <w:r w:rsidRPr="0074482F">
        <w:t xml:space="preserve"> na </w:t>
      </w:r>
      <w:r w:rsidR="000305AB" w:rsidRPr="0074482F">
        <w:t>240</w:t>
      </w:r>
      <w:r w:rsidRPr="0074482F">
        <w:t xml:space="preserve"> obyvatel, což </w:t>
      </w:r>
      <w:r w:rsidR="0096640B">
        <w:t>činilo</w:t>
      </w:r>
      <w:r w:rsidRPr="0074482F">
        <w:t xml:space="preserve"> </w:t>
      </w:r>
      <w:r w:rsidR="000305AB" w:rsidRPr="0074482F">
        <w:t>přírůstek 5,3</w:t>
      </w:r>
      <w:r w:rsidRPr="0074482F">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1E21CC">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23 181</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43</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23 027</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-8</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03%</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23 232</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51</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22%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22 978</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-49</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21%</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23 231</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25</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11%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22 881</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-97</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42%</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23 188</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-43</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22 993</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122</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53%</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23 178</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-10</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23 071</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78</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34%</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23 184</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6</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03%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22 995</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-76</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33%</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23 206</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09%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22 944</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-51</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22%</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23 177</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-29</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13%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22 882</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-19</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08%</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23 134</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-43</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22 747</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-135</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59%</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23 178</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44</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586D47" w:rsidP="00981FBA">
            <w:pPr>
              <w:jc w:val="center"/>
              <w:rPr>
                <w:sz w:val="18"/>
                <w:szCs w:val="18"/>
              </w:rPr>
            </w:pPr>
            <w:r>
              <w:rPr>
                <w:sz w:val="18"/>
                <w:szCs w:val="18"/>
              </w:rPr>
              <w:t>0,</w:t>
            </w:r>
            <w:r w:rsidR="00803BE8" w:rsidRPr="00981FBA">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22 648</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-99</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44%</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23 042</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-33</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14%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22 552</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-96</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43%</w:t>
            </w:r>
          </w:p>
        </w:tc>
      </w:tr>
      <w:tr w:rsidR="00803BE8" w:rsidRPr="00BE4E54" w:rsidTr="001E21C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22 982</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-60</w:t>
            </w:r>
          </w:p>
        </w:tc>
        <w:tc>
          <w:tcPr>
            <w:tcW w:w="727"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26%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03BE8" w:rsidRPr="00981FBA" w:rsidRDefault="00803BE8" w:rsidP="00981FBA">
            <w:pPr>
              <w:pStyle w:val="Bezmezer"/>
              <w:jc w:val="center"/>
              <w:rPr>
                <w:b/>
                <w:sz w:val="18"/>
                <w:szCs w:val="18"/>
              </w:rPr>
            </w:pPr>
            <w:r w:rsidRPr="00981FBA">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22 532</w:t>
            </w:r>
          </w:p>
        </w:tc>
        <w:tc>
          <w:tcPr>
            <w:tcW w:w="727" w:type="pct"/>
            <w:tcBorders>
              <w:top w:val="single" w:sz="6" w:space="0" w:color="auto"/>
              <w:left w:val="single" w:sz="6" w:space="0" w:color="auto"/>
              <w:bottom w:val="single" w:sz="6" w:space="0" w:color="auto"/>
              <w:right w:val="single" w:sz="6" w:space="0" w:color="auto"/>
            </w:tcBorders>
            <w:vAlign w:val="center"/>
          </w:tcPr>
          <w:p w:rsidR="00803BE8" w:rsidRPr="00981FBA" w:rsidRDefault="00803BE8" w:rsidP="00981FBA">
            <w:pPr>
              <w:jc w:val="center"/>
              <w:rPr>
                <w:sz w:val="18"/>
                <w:szCs w:val="18"/>
              </w:rPr>
            </w:pPr>
            <w:r w:rsidRPr="00981FBA">
              <w:rPr>
                <w:sz w:val="18"/>
                <w:szCs w:val="18"/>
              </w:rPr>
              <w:t>-20</w:t>
            </w:r>
          </w:p>
        </w:tc>
        <w:tc>
          <w:tcPr>
            <w:tcW w:w="722" w:type="pct"/>
            <w:tcBorders>
              <w:top w:val="single" w:sz="6" w:space="0" w:color="auto"/>
              <w:left w:val="single" w:sz="6" w:space="0" w:color="auto"/>
              <w:bottom w:val="single" w:sz="6" w:space="0" w:color="auto"/>
              <w:right w:val="double" w:sz="4" w:space="0" w:color="auto"/>
            </w:tcBorders>
            <w:vAlign w:val="center"/>
          </w:tcPr>
          <w:p w:rsidR="00803BE8" w:rsidRPr="00981FBA" w:rsidRDefault="00803BE8" w:rsidP="00981FBA">
            <w:pPr>
              <w:jc w:val="center"/>
              <w:rPr>
                <w:sz w:val="18"/>
                <w:szCs w:val="18"/>
              </w:rPr>
            </w:pPr>
            <w:r w:rsidRPr="00981FBA">
              <w:rPr>
                <w:sz w:val="18"/>
                <w:szCs w:val="18"/>
              </w:rPr>
              <w:t>-</w:t>
            </w:r>
            <w:r w:rsidR="00586D47">
              <w:rPr>
                <w:sz w:val="18"/>
                <w:szCs w:val="18"/>
              </w:rPr>
              <w:t>0,</w:t>
            </w:r>
            <w:r w:rsidRPr="00981FBA">
              <w:rPr>
                <w:sz w:val="18"/>
                <w:szCs w:val="18"/>
              </w:rPr>
              <w:t>09%</w:t>
            </w:r>
          </w:p>
        </w:tc>
      </w:tr>
      <w:tr w:rsidR="001E21CC" w:rsidRPr="00BE4E54" w:rsidTr="001E21CC">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1E21CC" w:rsidRPr="00981FBA" w:rsidRDefault="001E21CC" w:rsidP="00981FBA">
            <w:pPr>
              <w:pStyle w:val="Bezmezer"/>
              <w:jc w:val="center"/>
              <w:rPr>
                <w:b/>
                <w:sz w:val="18"/>
                <w:szCs w:val="18"/>
              </w:rPr>
            </w:pPr>
            <w:r w:rsidRPr="00981FBA">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1E21CC" w:rsidRPr="00981FBA" w:rsidRDefault="001E21CC" w:rsidP="00981FBA">
            <w:pPr>
              <w:jc w:val="center"/>
              <w:rPr>
                <w:sz w:val="18"/>
                <w:szCs w:val="18"/>
              </w:rPr>
            </w:pPr>
            <w:r w:rsidRPr="00981FBA">
              <w:rPr>
                <w:sz w:val="18"/>
                <w:szCs w:val="18"/>
              </w:rPr>
              <w:t>23 035</w:t>
            </w:r>
          </w:p>
        </w:tc>
        <w:tc>
          <w:tcPr>
            <w:tcW w:w="727" w:type="pct"/>
            <w:tcBorders>
              <w:top w:val="single" w:sz="6" w:space="0" w:color="auto"/>
              <w:left w:val="single" w:sz="6" w:space="0" w:color="auto"/>
              <w:bottom w:val="double" w:sz="4" w:space="0" w:color="auto"/>
              <w:right w:val="single" w:sz="6" w:space="0" w:color="auto"/>
            </w:tcBorders>
            <w:vAlign w:val="center"/>
          </w:tcPr>
          <w:p w:rsidR="001E21CC" w:rsidRPr="00981FBA" w:rsidRDefault="001E21CC" w:rsidP="00981FBA">
            <w:pPr>
              <w:jc w:val="center"/>
              <w:rPr>
                <w:sz w:val="18"/>
                <w:szCs w:val="18"/>
              </w:rPr>
            </w:pPr>
            <w:r w:rsidRPr="00981FBA">
              <w:rPr>
                <w:sz w:val="18"/>
                <w:szCs w:val="18"/>
              </w:rPr>
              <w:t>53</w:t>
            </w:r>
          </w:p>
        </w:tc>
        <w:tc>
          <w:tcPr>
            <w:tcW w:w="727" w:type="pct"/>
            <w:tcBorders>
              <w:top w:val="single" w:sz="6" w:space="0" w:color="auto"/>
              <w:left w:val="single" w:sz="6" w:space="0" w:color="auto"/>
              <w:bottom w:val="double" w:sz="4" w:space="0" w:color="auto"/>
              <w:right w:val="double" w:sz="4" w:space="0" w:color="auto"/>
            </w:tcBorders>
            <w:vAlign w:val="center"/>
          </w:tcPr>
          <w:p w:rsidR="001E21CC" w:rsidRPr="00981FBA" w:rsidRDefault="001E21CC" w:rsidP="00981FBA">
            <w:pPr>
              <w:jc w:val="center"/>
              <w:rPr>
                <w:sz w:val="18"/>
                <w:szCs w:val="18"/>
              </w:rPr>
            </w:pPr>
            <w:r>
              <w:rPr>
                <w:sz w:val="18"/>
                <w:szCs w:val="18"/>
              </w:rPr>
              <w:t>0,</w:t>
            </w:r>
            <w:r w:rsidRPr="00981FBA">
              <w:rPr>
                <w:sz w:val="18"/>
                <w:szCs w:val="18"/>
              </w:rPr>
              <w:t>23%</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1E21CC" w:rsidRPr="00981FBA" w:rsidRDefault="001E21CC" w:rsidP="00D43A20">
            <w:pPr>
              <w:pStyle w:val="Bezmezer"/>
              <w:keepNext/>
              <w:jc w:val="center"/>
              <w:rPr>
                <w:sz w:val="18"/>
                <w:szCs w:val="18"/>
              </w:rPr>
            </w:pPr>
          </w:p>
        </w:tc>
      </w:tr>
    </w:tbl>
    <w:p w:rsidR="00D43A20" w:rsidRDefault="00D43A20" w:rsidP="001D204D">
      <w:pPr>
        <w:pStyle w:val="Tabulka"/>
      </w:pPr>
      <w:bookmarkStart w:id="32" w:name="_Toc469908889"/>
      <w:r>
        <w:t xml:space="preserve">Tab. </w:t>
      </w:r>
      <w:r w:rsidR="005D1BD9">
        <w:fldChar w:fldCharType="begin"/>
      </w:r>
      <w:r w:rsidR="005D1BD9">
        <w:instrText xml:space="preserve"> SEQ Tab. \* ARABIC </w:instrText>
      </w:r>
      <w:r w:rsidR="005D1BD9">
        <w:fldChar w:fldCharType="separate"/>
      </w:r>
      <w:r w:rsidR="003A35BB">
        <w:rPr>
          <w:noProof/>
        </w:rPr>
        <w:t>15</w:t>
      </w:r>
      <w:r w:rsidR="005D1BD9">
        <w:rPr>
          <w:noProof/>
        </w:rPr>
        <w:fldChar w:fldCharType="end"/>
      </w:r>
      <w:r w:rsidR="001E21CC">
        <w:rPr>
          <w:noProof/>
        </w:rPr>
        <w:t xml:space="preserve"> Vývoj počtu obyvatel SO ORP Uničov mezi lety 1991 – 2015</w:t>
      </w:r>
      <w:bookmarkEnd w:id="32"/>
    </w:p>
    <w:p w:rsidR="007362A9" w:rsidRPr="0005243A" w:rsidRDefault="007362A9" w:rsidP="007362A9">
      <w:r w:rsidRPr="0005243A">
        <w:t xml:space="preserve">Počet zemřelých v SO ORP </w:t>
      </w:r>
      <w:r w:rsidR="00CE7151" w:rsidRPr="0005243A">
        <w:t>Uničov</w:t>
      </w:r>
      <w:r w:rsidRPr="0005243A">
        <w:t xml:space="preserve"> poprvé překonal p</w:t>
      </w:r>
      <w:r w:rsidR="008E1CE7" w:rsidRPr="0005243A">
        <w:t>očet živě narozených v roce 1997</w:t>
      </w:r>
      <w:r w:rsidRPr="0005243A">
        <w:t xml:space="preserve"> (</w:t>
      </w:r>
      <w:r w:rsidR="008E1CE7" w:rsidRPr="0005243A">
        <w:t>205</w:t>
      </w:r>
      <w:r w:rsidRPr="0005243A">
        <w:t xml:space="preserve"> živě narozených, </w:t>
      </w:r>
      <w:r w:rsidR="008E1CE7" w:rsidRPr="0005243A">
        <w:t>2</w:t>
      </w:r>
      <w:r w:rsidRPr="0005243A">
        <w:t>07 zemřelých)</w:t>
      </w:r>
      <w:r w:rsidR="008E1CE7" w:rsidRPr="0005243A">
        <w:t>.</w:t>
      </w:r>
      <w:r w:rsidRPr="0005243A">
        <w:t xml:space="preserve"> </w:t>
      </w:r>
      <w:r w:rsidR="008E1CE7" w:rsidRPr="0005243A">
        <w:t>Mezi lety 1998 – 2010 docházelo k </w:t>
      </w:r>
      <w:r w:rsidR="00A503EF" w:rsidRPr="0005243A">
        <w:t>pravidelnému</w:t>
      </w:r>
      <w:r w:rsidR="008E1CE7" w:rsidRPr="0005243A">
        <w:t xml:space="preserve"> střídání let s více živě narozených a </w:t>
      </w:r>
      <w:r w:rsidR="006C1AD8" w:rsidRPr="0005243A">
        <w:t xml:space="preserve">zemřelými. Od roku 2011 </w:t>
      </w:r>
      <w:r w:rsidR="003433CA" w:rsidRPr="0005243A">
        <w:t>překonáv</w:t>
      </w:r>
      <w:r w:rsidR="00C72B9E">
        <w:t>al</w:t>
      </w:r>
      <w:r w:rsidR="003433CA" w:rsidRPr="0005243A">
        <w:t xml:space="preserve"> počet zemřelých počet živě narozených každoročně. </w:t>
      </w:r>
      <w:r w:rsidR="006C1AD8" w:rsidRPr="0005243A">
        <w:t>Zatím</w:t>
      </w:r>
      <w:r w:rsidRPr="0005243A">
        <w:t xml:space="preserve"> co roční počet úmrtí m</w:t>
      </w:r>
      <w:r w:rsidR="00C72B9E">
        <w:t>ěl</w:t>
      </w:r>
      <w:r w:rsidRPr="0005243A">
        <w:t xml:space="preserve"> převážně stagnující </w:t>
      </w:r>
      <w:r w:rsidR="0005243A" w:rsidRPr="0005243A">
        <w:t xml:space="preserve">až mírně stoupající </w:t>
      </w:r>
      <w:r w:rsidRPr="0005243A">
        <w:t xml:space="preserve">tendenci, počet živě narozených </w:t>
      </w:r>
      <w:r w:rsidR="00A503EF" w:rsidRPr="0005243A">
        <w:t>stagn</w:t>
      </w:r>
      <w:r w:rsidR="00C72B9E">
        <w:t>oval</w:t>
      </w:r>
      <w:r w:rsidR="00A503EF" w:rsidRPr="0005243A">
        <w:t>, až</w:t>
      </w:r>
      <w:r w:rsidR="0005243A" w:rsidRPr="0005243A">
        <w:t xml:space="preserve"> </w:t>
      </w:r>
      <w:r w:rsidRPr="0005243A">
        <w:t>mírně kles</w:t>
      </w:r>
      <w:r w:rsidR="00C72B9E">
        <w:t>al</w:t>
      </w:r>
      <w:r w:rsidRPr="0005243A">
        <w:t>.</w:t>
      </w:r>
    </w:p>
    <w:p w:rsidR="007362A9" w:rsidRDefault="007362A9" w:rsidP="007362A9">
      <w:r w:rsidRPr="00A503EF">
        <w:t>Z hlediska přírůstku obyvatel stěhováním docház</w:t>
      </w:r>
      <w:r w:rsidR="004A2D23" w:rsidRPr="00A503EF">
        <w:t>elo v letech 1991 – 2015</w:t>
      </w:r>
      <w:r w:rsidRPr="00A503EF">
        <w:t xml:space="preserve"> v rámci SO ORP</w:t>
      </w:r>
      <w:r w:rsidR="004A2D23" w:rsidRPr="00A503EF">
        <w:t xml:space="preserve"> Uničov</w:t>
      </w:r>
      <w:r w:rsidRPr="00A503EF">
        <w:t xml:space="preserve"> k</w:t>
      </w:r>
      <w:r w:rsidR="004A2D23" w:rsidRPr="00A503EF">
        <w:t xml:space="preserve"> převážně k úbytku obyvatel a to meziročně až o 0,52 %. Výjimkou byly roky </w:t>
      </w:r>
      <w:r w:rsidR="00A503EF" w:rsidRPr="00A503EF">
        <w:t>1997, 2000, 2003, 2007, 2008 a 2015, kdy došlo k meziročnímu nárůstu o 0,04 – 0,32 %.</w:t>
      </w:r>
    </w:p>
    <w:p w:rsidR="00AD6B94" w:rsidRDefault="002E425E" w:rsidP="00AD6B94">
      <w:pPr>
        <w:keepNext/>
      </w:pPr>
      <w:r>
        <w:rPr>
          <w:noProof/>
          <w:lang w:eastAsia="cs-CZ"/>
        </w:rPr>
        <w:lastRenderedPageBreak/>
        <w:drawing>
          <wp:inline distT="0" distB="0" distL="0" distR="0" wp14:anchorId="29A12632" wp14:editId="26430749">
            <wp:extent cx="5760720" cy="3683897"/>
            <wp:effectExtent l="0" t="0" r="11430" b="1206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425E" w:rsidRDefault="00AD6B94" w:rsidP="00F7590B">
      <w:pPr>
        <w:pStyle w:val="Tabulka"/>
      </w:pPr>
      <w:bookmarkStart w:id="33" w:name="_Toc469908867"/>
      <w:r>
        <w:t xml:space="preserve">Graf </w:t>
      </w:r>
      <w:r w:rsidR="005D1BD9">
        <w:fldChar w:fldCharType="begin"/>
      </w:r>
      <w:r w:rsidR="005D1BD9">
        <w:instrText xml:space="preserve"> SEQ Graf \* ARABIC </w:instrText>
      </w:r>
      <w:r w:rsidR="005D1BD9">
        <w:fldChar w:fldCharType="separate"/>
      </w:r>
      <w:r w:rsidR="003A35BB">
        <w:rPr>
          <w:noProof/>
        </w:rPr>
        <w:t>8</w:t>
      </w:r>
      <w:r w:rsidR="005D1BD9">
        <w:rPr>
          <w:noProof/>
        </w:rPr>
        <w:fldChar w:fldCharType="end"/>
      </w:r>
      <w:r w:rsidR="0074624D">
        <w:rPr>
          <w:noProof/>
        </w:rPr>
        <w:t xml:space="preserve"> Vývoj a předpokládaný vývoj počtu obyvatel SO ORP Uničov v letech 1991 – 2050</w:t>
      </w:r>
      <w:bookmarkEnd w:id="33"/>
    </w:p>
    <w:p w:rsidR="00F373EB" w:rsidRDefault="00F373EB" w:rsidP="00F373EB">
      <w:r w:rsidRPr="00C33DBD">
        <w:t xml:space="preserve">Výhled počtu obyvatel </w:t>
      </w:r>
      <w:r w:rsidR="0029758A">
        <w:t xml:space="preserve">SO ORP Uničov </w:t>
      </w:r>
      <w:r w:rsidR="006C08FA" w:rsidRPr="00C33DBD">
        <w:t xml:space="preserve">předpokládá </w:t>
      </w:r>
      <w:r w:rsidR="0029758A">
        <w:t>v</w:t>
      </w:r>
      <w:r w:rsidR="00C33DBD" w:rsidRPr="00C33DBD">
        <w:t> nejbližších letech se stagnací a následným pokračováním úbytku počtu obyvatel</w:t>
      </w:r>
      <w:r w:rsidR="0029758A">
        <w:t xml:space="preserve"> jak zobrazuje </w:t>
      </w:r>
      <w:r w:rsidR="0029758A" w:rsidRPr="0029758A">
        <w:rPr>
          <w:i/>
        </w:rPr>
        <w:t xml:space="preserve">Graf 8 Vývoj a předpokládaný vývoj počtu obyvatel SO ORP Uničov v letech 1991 – 2050 </w:t>
      </w:r>
      <w:r w:rsidR="0029758A">
        <w:t xml:space="preserve">a </w:t>
      </w:r>
      <w:r w:rsidR="0029758A" w:rsidRPr="0029758A">
        <w:rPr>
          <w:i/>
        </w:rPr>
        <w:t>Tab. 16 Předpokládaný vývoj počtu obyvatel SO ORP Uničov do roku 2050</w:t>
      </w:r>
      <w:r w:rsidR="00C33DBD" w:rsidRPr="00C33DBD">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3875D2" w:rsidTr="002744D5">
        <w:tc>
          <w:tcPr>
            <w:tcW w:w="1000" w:type="pct"/>
            <w:tcBorders>
              <w:left w:val="double" w:sz="4" w:space="0" w:color="auto"/>
              <w:bottom w:val="double" w:sz="4" w:space="0" w:color="auto"/>
            </w:tcBorders>
            <w:shd w:val="clear" w:color="auto" w:fill="BCD9DE" w:themeFill="accent5" w:themeFillTint="66"/>
            <w:vAlign w:val="center"/>
          </w:tcPr>
          <w:p w:rsidR="003875D2" w:rsidRPr="004E092F" w:rsidRDefault="003875D2" w:rsidP="008E7C52">
            <w:pPr>
              <w:pStyle w:val="Bezmezer"/>
              <w:jc w:val="center"/>
              <w:rPr>
                <w:b/>
                <w:sz w:val="18"/>
              </w:rPr>
            </w:pPr>
            <w:r w:rsidRPr="004E092F">
              <w:rPr>
                <w:b/>
                <w:sz w:val="18"/>
              </w:rPr>
              <w:t>POČET OBYVATEL</w:t>
            </w:r>
          </w:p>
        </w:tc>
        <w:tc>
          <w:tcPr>
            <w:tcW w:w="1000" w:type="pct"/>
            <w:tcBorders>
              <w:bottom w:val="double" w:sz="4" w:space="0" w:color="auto"/>
            </w:tcBorders>
          </w:tcPr>
          <w:p w:rsidR="003875D2" w:rsidRPr="005C17F6" w:rsidRDefault="003875D2" w:rsidP="005C17F6">
            <w:pPr>
              <w:jc w:val="center"/>
              <w:rPr>
                <w:sz w:val="18"/>
              </w:rPr>
            </w:pPr>
            <w:r w:rsidRPr="005C17F6">
              <w:rPr>
                <w:sz w:val="18"/>
              </w:rPr>
              <w:t>22</w:t>
            </w:r>
            <w:r w:rsidR="005C17F6" w:rsidRPr="005C17F6">
              <w:rPr>
                <w:sz w:val="18"/>
              </w:rPr>
              <w:t xml:space="preserve"> </w:t>
            </w:r>
            <w:r w:rsidRPr="005C17F6">
              <w:rPr>
                <w:sz w:val="18"/>
              </w:rPr>
              <w:t>632</w:t>
            </w:r>
          </w:p>
        </w:tc>
        <w:tc>
          <w:tcPr>
            <w:tcW w:w="1000" w:type="pct"/>
            <w:tcBorders>
              <w:bottom w:val="double" w:sz="4" w:space="0" w:color="auto"/>
            </w:tcBorders>
          </w:tcPr>
          <w:p w:rsidR="003875D2" w:rsidRPr="005C17F6" w:rsidRDefault="003875D2" w:rsidP="005C17F6">
            <w:pPr>
              <w:jc w:val="center"/>
              <w:rPr>
                <w:sz w:val="18"/>
              </w:rPr>
            </w:pPr>
            <w:r w:rsidRPr="005C17F6">
              <w:rPr>
                <w:sz w:val="18"/>
              </w:rPr>
              <w:t>22</w:t>
            </w:r>
            <w:r w:rsidR="005C17F6" w:rsidRPr="005C17F6">
              <w:rPr>
                <w:sz w:val="18"/>
              </w:rPr>
              <w:t xml:space="preserve"> </w:t>
            </w:r>
            <w:r w:rsidRPr="005C17F6">
              <w:rPr>
                <w:sz w:val="18"/>
              </w:rPr>
              <w:t>446</w:t>
            </w:r>
          </w:p>
        </w:tc>
        <w:tc>
          <w:tcPr>
            <w:tcW w:w="1000" w:type="pct"/>
            <w:tcBorders>
              <w:bottom w:val="double" w:sz="4" w:space="0" w:color="auto"/>
            </w:tcBorders>
          </w:tcPr>
          <w:p w:rsidR="003875D2" w:rsidRPr="005C17F6" w:rsidRDefault="003875D2" w:rsidP="005C17F6">
            <w:pPr>
              <w:jc w:val="center"/>
              <w:rPr>
                <w:sz w:val="18"/>
              </w:rPr>
            </w:pPr>
            <w:r w:rsidRPr="005C17F6">
              <w:rPr>
                <w:sz w:val="18"/>
              </w:rPr>
              <w:t>22</w:t>
            </w:r>
            <w:r w:rsidR="005C17F6" w:rsidRPr="005C17F6">
              <w:rPr>
                <w:sz w:val="18"/>
              </w:rPr>
              <w:t xml:space="preserve"> </w:t>
            </w:r>
            <w:r w:rsidRPr="005C17F6">
              <w:rPr>
                <w:sz w:val="18"/>
              </w:rPr>
              <w:t>272</w:t>
            </w:r>
          </w:p>
        </w:tc>
        <w:tc>
          <w:tcPr>
            <w:tcW w:w="1000" w:type="pct"/>
            <w:tcBorders>
              <w:bottom w:val="double" w:sz="4" w:space="0" w:color="auto"/>
              <w:right w:val="double" w:sz="4" w:space="0" w:color="auto"/>
            </w:tcBorders>
          </w:tcPr>
          <w:p w:rsidR="003875D2" w:rsidRPr="005C17F6" w:rsidRDefault="003875D2" w:rsidP="00D43A20">
            <w:pPr>
              <w:keepNext/>
              <w:jc w:val="center"/>
              <w:rPr>
                <w:sz w:val="18"/>
              </w:rPr>
            </w:pPr>
            <w:r w:rsidRPr="005C17F6">
              <w:rPr>
                <w:sz w:val="18"/>
              </w:rPr>
              <w:t>21</w:t>
            </w:r>
            <w:r w:rsidR="005C17F6" w:rsidRPr="005C17F6">
              <w:rPr>
                <w:sz w:val="18"/>
              </w:rPr>
              <w:t xml:space="preserve"> </w:t>
            </w:r>
            <w:r w:rsidRPr="005C17F6">
              <w:rPr>
                <w:sz w:val="18"/>
              </w:rPr>
              <w:t>651</w:t>
            </w:r>
          </w:p>
        </w:tc>
      </w:tr>
    </w:tbl>
    <w:p w:rsidR="00D43A20" w:rsidRPr="004D62E0" w:rsidRDefault="00D43A20" w:rsidP="00F7590B">
      <w:pPr>
        <w:pStyle w:val="Tabulka"/>
        <w:rPr>
          <w:b w:val="0"/>
          <w:noProof/>
        </w:rPr>
      </w:pPr>
      <w:bookmarkStart w:id="34" w:name="_Toc469908890"/>
      <w:r>
        <w:t xml:space="preserve">Tab. </w:t>
      </w:r>
      <w:r w:rsidR="005D1BD9">
        <w:fldChar w:fldCharType="begin"/>
      </w:r>
      <w:r w:rsidR="005D1BD9">
        <w:instrText xml:space="preserve"> SEQ Tab. \* ARABIC </w:instrText>
      </w:r>
      <w:r w:rsidR="005D1BD9">
        <w:fldChar w:fldCharType="separate"/>
      </w:r>
      <w:r w:rsidR="003A35BB">
        <w:rPr>
          <w:noProof/>
        </w:rPr>
        <w:t>16</w:t>
      </w:r>
      <w:r w:rsidR="005D1BD9">
        <w:rPr>
          <w:noProof/>
        </w:rPr>
        <w:fldChar w:fldCharType="end"/>
      </w:r>
      <w:r w:rsidR="004D62E0">
        <w:rPr>
          <w:noProof/>
        </w:rPr>
        <w:t xml:space="preserve"> Předpokládaný vývoj počtu obyvatel SO ORP Uničov do roku 2050</w:t>
      </w:r>
      <w:bookmarkEnd w:id="34"/>
    </w:p>
    <w:p w:rsidR="00F7590B" w:rsidRDefault="00F7590B" w:rsidP="00F7590B"/>
    <w:p w:rsidR="00F7590B" w:rsidRDefault="00F7590B">
      <w:pPr>
        <w:spacing w:before="0" w:after="0"/>
        <w:jc w:val="left"/>
      </w:pPr>
      <w:r>
        <w:br w:type="page"/>
      </w:r>
    </w:p>
    <w:p w:rsidR="00893EB7" w:rsidRDefault="00893EB7" w:rsidP="00C50858">
      <w:pPr>
        <w:pStyle w:val="Nadpis2"/>
      </w:pPr>
      <w:bookmarkStart w:id="35" w:name="_Toc469989352"/>
      <w:r w:rsidRPr="00F52857">
        <w:lastRenderedPageBreak/>
        <w:t>SO ORP Šternberk</w:t>
      </w:r>
      <w:bookmarkEnd w:id="35"/>
    </w:p>
    <w:p w:rsidR="00473F05" w:rsidRDefault="00473F05" w:rsidP="00473F05">
      <w:r w:rsidRPr="007E3A45">
        <w:t xml:space="preserve">SO ORP </w:t>
      </w:r>
      <w:r w:rsidR="00C44EB1">
        <w:t>Šternberk</w:t>
      </w:r>
      <w:r w:rsidR="00984CDF">
        <w:t xml:space="preserve"> se nachází ve střední</w:t>
      </w:r>
      <w:r w:rsidRPr="007E3A45">
        <w:t xml:space="preserve"> části Olomouckého kraje.</w:t>
      </w:r>
      <w:r>
        <w:t xml:space="preserve"> Na </w:t>
      </w:r>
      <w:r w:rsidR="00984CDF">
        <w:t>severu a východě</w:t>
      </w:r>
      <w:r>
        <w:t xml:space="preserve"> sousedí Moravskoslezským krajem</w:t>
      </w:r>
      <w:r w:rsidR="00984CDF">
        <w:t>,</w:t>
      </w:r>
      <w:r>
        <w:t xml:space="preserve"> na jihu s SO ORP </w:t>
      </w:r>
      <w:r w:rsidR="00984CDF">
        <w:t>Olomouc a na západě s SO ORP Uničov a Litovel</w:t>
      </w:r>
      <w:r>
        <w:t>.</w:t>
      </w:r>
      <w:r w:rsidRPr="007E3A45">
        <w:t xml:space="preserve"> </w:t>
      </w:r>
      <w:r>
        <w:t xml:space="preserve">ORP </w:t>
      </w:r>
      <w:r w:rsidR="00984CDF">
        <w:t>Šternberk</w:t>
      </w:r>
      <w:r>
        <w:t xml:space="preserve"> zahrnuje </w:t>
      </w:r>
      <w:r w:rsidR="00BA1758">
        <w:t>2</w:t>
      </w:r>
      <w:r w:rsidRPr="00F1188E">
        <w:t>2 obcí -</w:t>
      </w:r>
      <w:r>
        <w:t xml:space="preserve"> </w:t>
      </w:r>
      <w:r w:rsidR="00984CDF" w:rsidRPr="00984CDF">
        <w:t xml:space="preserve">Babice, Domašov nad Bystřicí, Domašov u Šternberka, Hlásnice, Hnojice, Horní Loděnice, </w:t>
      </w:r>
      <w:proofErr w:type="spellStart"/>
      <w:r w:rsidR="00984CDF" w:rsidRPr="00984CDF">
        <w:t>Hraničné</w:t>
      </w:r>
      <w:proofErr w:type="spellEnd"/>
      <w:r w:rsidR="00984CDF" w:rsidRPr="00984CDF">
        <w:t xml:space="preserve"> Petrovice, Huzová, Jívová, Komárov, Lipina, Lužice,</w:t>
      </w:r>
      <w:r w:rsidR="00D828AA">
        <w:t xml:space="preserve"> </w:t>
      </w:r>
      <w:r w:rsidR="00984CDF" w:rsidRPr="00984CDF">
        <w:t>Mladějovice, Moravský Beroun, Mutkov, Norberčany, Řídeč, Strukov, Štarnov, Šter</w:t>
      </w:r>
      <w:r w:rsidR="00984CDF">
        <w:t>nberk, a Žerotín.</w:t>
      </w:r>
      <w:r w:rsidR="00D828AA">
        <w:t xml:space="preserve"> </w:t>
      </w:r>
      <w:r w:rsidR="00D828AA" w:rsidRPr="00D828AA">
        <w:t>Od 1. 1. 2016 nově spadá pod SO ORP</w:t>
      </w:r>
      <w:r w:rsidR="00D828AA">
        <w:t xml:space="preserve"> Šternberk</w:t>
      </w:r>
      <w:r w:rsidR="00D828AA" w:rsidRPr="00D828AA">
        <w:t xml:space="preserve"> obec </w:t>
      </w:r>
      <w:r w:rsidR="00D828AA">
        <w:t>Město Libavá</w:t>
      </w:r>
      <w:r w:rsidR="00D828AA" w:rsidRPr="00D828AA">
        <w:t>, která byla součástí Vojenského újezdu Libavá</w:t>
      </w:r>
      <w:r w:rsidR="00D828AA">
        <w:t>.</w:t>
      </w:r>
      <w:r w:rsidR="00984CDF">
        <w:t xml:space="preserve"> </w:t>
      </w:r>
      <w:r w:rsidR="009C1C9A" w:rsidRPr="009C1C9A">
        <w:t xml:space="preserve">Obcí s největším počtem obyvatel k 31. 12. 2015 bylo město </w:t>
      </w:r>
      <w:r w:rsidR="009C1C9A">
        <w:t>Šternberk</w:t>
      </w:r>
      <w:r w:rsidR="009C1C9A" w:rsidRPr="009C1C9A">
        <w:t xml:space="preserve"> s</w:t>
      </w:r>
      <w:r w:rsidR="009C1C9A">
        <w:t> 13 551</w:t>
      </w:r>
      <w:r w:rsidR="009C1C9A" w:rsidRPr="009C1C9A">
        <w:t xml:space="preserve"> obyvateli, nejmenší pak byla </w:t>
      </w:r>
      <w:r w:rsidR="009C1C9A">
        <w:t>obec</w:t>
      </w:r>
      <w:r w:rsidR="009C1C9A" w:rsidRPr="009C1C9A">
        <w:t xml:space="preserve"> </w:t>
      </w:r>
      <w:r w:rsidR="009C1C9A">
        <w:t>Mutkov</w:t>
      </w:r>
      <w:r w:rsidR="009C1C9A" w:rsidRPr="009C1C9A">
        <w:t xml:space="preserve">, která měla k 31. 12. 2015 </w:t>
      </w:r>
      <w:r w:rsidR="009C1C9A">
        <w:t>51</w:t>
      </w:r>
      <w:r w:rsidR="009C1C9A" w:rsidRPr="009C1C9A">
        <w:t xml:space="preserve"> evidovaných obyvatel.</w:t>
      </w:r>
    </w:p>
    <w:p w:rsidR="00473F05" w:rsidRDefault="00473F05" w:rsidP="00473F05">
      <w:r>
        <w:t xml:space="preserve">K 31. 12. 2015 bylo v SO ORP </w:t>
      </w:r>
      <w:r w:rsidR="000F4D8F">
        <w:t>Šternberk</w:t>
      </w:r>
      <w:r>
        <w:t xml:space="preserve"> evidováno </w:t>
      </w:r>
      <w:r w:rsidR="000F4D8F" w:rsidRPr="000F4D8F">
        <w:t>24</w:t>
      </w:r>
      <w:r w:rsidR="000F4D8F">
        <w:t> </w:t>
      </w:r>
      <w:r w:rsidR="000F4D8F" w:rsidRPr="000F4D8F">
        <w:t>191</w:t>
      </w:r>
      <w:r w:rsidR="000F4D8F">
        <w:t xml:space="preserve"> obyvatel, což tvořilo 3,8</w:t>
      </w:r>
      <w:r>
        <w:t xml:space="preserve"> % z celkového počtu obyvatel Olomouckého kraje. Vývoj počtu obyvatel měl v SO ORP </w:t>
      </w:r>
      <w:r w:rsidR="000F4D8F">
        <w:t>Šternberk</w:t>
      </w:r>
      <w:r>
        <w:t xml:space="preserve"> měl </w:t>
      </w:r>
      <w:r w:rsidR="00B019A6" w:rsidRPr="00B019A6">
        <w:t>mezi lety 1991 – 2015 poměrně vyrovnanou, střídavou tendenci</w:t>
      </w:r>
      <w:r>
        <w:t>. V</w:t>
      </w:r>
      <w:r w:rsidR="00B019A6">
        <w:t> 9</w:t>
      </w:r>
      <w:r w:rsidR="00586D47">
        <w:t>0,</w:t>
      </w:r>
      <w:r w:rsidR="00B019A6">
        <w:t xml:space="preserve"> letech docházelo ke střídání meziročních poklesů a nárůstů počtu obyvatel. Díky tomu, že byly meziroční poklesy (až 0,23 %) nižší než nárůsty (až 0,37 %), počet obyvatel během 9</w:t>
      </w:r>
      <w:r w:rsidR="00586D47">
        <w:t>0,</w:t>
      </w:r>
      <w:r w:rsidR="00B019A6">
        <w:t xml:space="preserve"> let mírně rostl. Po roce 2000 byl trend vývoje podobný, ovšem meziroční poklesy naopak dosahovaly vyšších hodnot (až 0,48 %) než nárůsty (až 0,25 %).</w:t>
      </w:r>
      <w:r>
        <w:t xml:space="preserve"> </w:t>
      </w:r>
      <w:r w:rsidR="000079AF">
        <w:t xml:space="preserve">Výjimečný zlom lze sledovat v roce 2005, kdy byly k 1. 1. 2005 administrativně přičleněny z Moravskoslezského kraje Město Moravský Beroun a obce Huzová a Norberčany. </w:t>
      </w:r>
      <w:r w:rsidR="00B30DDA">
        <w:t xml:space="preserve">Díky tomu, jak uvádí </w:t>
      </w:r>
      <w:r w:rsidR="00B30DDA" w:rsidRPr="00B30DDA">
        <w:rPr>
          <w:i/>
        </w:rPr>
        <w:t>Tab. 17 Vývoj počtu obyvatel SO ORP Šternberk mezi lety 1991 – 2015</w:t>
      </w:r>
      <w:r w:rsidR="00B30DDA">
        <w:t>, p</w:t>
      </w:r>
      <w:r>
        <w:t xml:space="preserve">očet obyvatel mezi lety 1991 – 2015 </w:t>
      </w:r>
      <w:r w:rsidR="00B30DDA">
        <w:t>vzrostl</w:t>
      </w:r>
      <w:r>
        <w:t xml:space="preserve"> z původních </w:t>
      </w:r>
      <w:r w:rsidR="00A9358F">
        <w:t>19 954</w:t>
      </w:r>
      <w:r>
        <w:t xml:space="preserve"> o </w:t>
      </w:r>
      <w:r w:rsidR="00A9358F">
        <w:t>3 685</w:t>
      </w:r>
      <w:r>
        <w:t xml:space="preserve"> na </w:t>
      </w:r>
      <w:r w:rsidR="00A9358F">
        <w:t>23 639</w:t>
      </w:r>
      <w:r>
        <w:t xml:space="preserve"> obyvatel.</w:t>
      </w:r>
    </w:p>
    <w:p w:rsidR="00473F05" w:rsidRDefault="00D57928" w:rsidP="00473F05">
      <w:r>
        <w:t xml:space="preserve">V poslední době </w:t>
      </w:r>
      <w:r w:rsidRPr="00D57928">
        <w:t>(2010 – 2015)</w:t>
      </w:r>
      <w:r>
        <w:t xml:space="preserve"> zasáhl největší úbytek počtu obyvatel</w:t>
      </w:r>
      <w:r w:rsidR="00A505D5" w:rsidRPr="00777BE9">
        <w:t>,</w:t>
      </w:r>
      <w:r w:rsidR="00473F05" w:rsidRPr="00777BE9">
        <w:t xml:space="preserve"> poměrově vzhledem k počtu obyvatel</w:t>
      </w:r>
      <w:r w:rsidR="00A505D5" w:rsidRPr="00777BE9">
        <w:t>,</w:t>
      </w:r>
      <w:r w:rsidR="00473F05" w:rsidRPr="00777BE9">
        <w:t xml:space="preserve"> obec </w:t>
      </w:r>
      <w:r w:rsidR="00A505D5" w:rsidRPr="00777BE9">
        <w:t>Norberčany</w:t>
      </w:r>
      <w:r w:rsidR="00473F05" w:rsidRPr="00777BE9">
        <w:t xml:space="preserve"> kde počet obyvatel klesl z původních </w:t>
      </w:r>
      <w:r w:rsidR="00A505D5" w:rsidRPr="00777BE9">
        <w:t>343</w:t>
      </w:r>
      <w:r w:rsidR="00473F05" w:rsidRPr="00777BE9">
        <w:t xml:space="preserve"> na </w:t>
      </w:r>
      <w:r w:rsidR="00A505D5" w:rsidRPr="00777BE9">
        <w:t>379</w:t>
      </w:r>
      <w:r w:rsidR="00473F05" w:rsidRPr="00777BE9">
        <w:t xml:space="preserve"> obyvatel, tj. </w:t>
      </w:r>
      <w:r w:rsidR="00EB3E26">
        <w:t xml:space="preserve">o </w:t>
      </w:r>
      <w:r w:rsidR="00770A4B" w:rsidRPr="00777BE9">
        <w:t xml:space="preserve">18,7 </w:t>
      </w:r>
      <w:r w:rsidR="00473F05" w:rsidRPr="00777BE9">
        <w:t xml:space="preserve">%. Naopak </w:t>
      </w:r>
      <w:r w:rsidR="003045B3">
        <w:t xml:space="preserve">zvýšení </w:t>
      </w:r>
      <w:r w:rsidR="00473F05" w:rsidRPr="00777BE9">
        <w:t xml:space="preserve">počtu obyvatelstva v SO ORP </w:t>
      </w:r>
      <w:r w:rsidR="00770A4B" w:rsidRPr="00777BE9">
        <w:t>Uničov</w:t>
      </w:r>
      <w:r w:rsidR="00473F05" w:rsidRPr="00777BE9">
        <w:t xml:space="preserve"> </w:t>
      </w:r>
      <w:r w:rsidR="003045B3">
        <w:t>dosáhla</w:t>
      </w:r>
      <w:r w:rsidR="00473F05" w:rsidRPr="00777BE9">
        <w:t xml:space="preserve"> obec </w:t>
      </w:r>
      <w:r w:rsidR="00770A4B" w:rsidRPr="00777BE9">
        <w:t>Lipina</w:t>
      </w:r>
      <w:r w:rsidR="00473F05" w:rsidRPr="00777BE9">
        <w:t xml:space="preserve">, kde počet obyvatel mezi lety 2010 - 2015 </w:t>
      </w:r>
      <w:r w:rsidR="00777BE9" w:rsidRPr="00777BE9">
        <w:t>vzrostl ze 143</w:t>
      </w:r>
      <w:r w:rsidR="00473F05" w:rsidRPr="00777BE9">
        <w:t xml:space="preserve"> na </w:t>
      </w:r>
      <w:r w:rsidR="00777BE9" w:rsidRPr="00777BE9">
        <w:t>171</w:t>
      </w:r>
      <w:r w:rsidR="00473F05" w:rsidRPr="00777BE9">
        <w:t xml:space="preserve"> obyvatel, což č</w:t>
      </w:r>
      <w:r w:rsidR="003045B3">
        <w:t>inilo přírůstek</w:t>
      </w:r>
      <w:r w:rsidR="00473F05" w:rsidRPr="00777BE9">
        <w:t xml:space="preserve"> </w:t>
      </w:r>
      <w:r w:rsidR="00777BE9" w:rsidRPr="00777BE9">
        <w:t>19,6 %</w:t>
      </w:r>
      <w:r w:rsidR="00473F05" w:rsidRPr="00777BE9">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643C4C">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1991</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rPr>
            </w:pPr>
            <w:r w:rsidRPr="00643C4C">
              <w:rPr>
                <w:sz w:val="18"/>
              </w:rPr>
              <w:t>19 954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rPr>
            </w:pPr>
            <w:r w:rsidRPr="00643C4C">
              <w:rPr>
                <w:sz w:val="18"/>
              </w:rPr>
              <w:t>16</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rPr>
            </w:pPr>
            <w:r w:rsidRPr="00643C4C">
              <w:rPr>
                <w:sz w:val="18"/>
              </w:rPr>
              <w:t>0,</w:t>
            </w:r>
            <w:r w:rsidR="008F014C" w:rsidRPr="00643C4C">
              <w:rPr>
                <w:sz w:val="18"/>
              </w:rPr>
              <w:t>08%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rPr>
            </w:pPr>
            <w:r w:rsidRPr="00643C4C">
              <w:rPr>
                <w:b/>
                <w:sz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rPr>
            </w:pPr>
            <w:r w:rsidRPr="00643C4C">
              <w:rPr>
                <w:sz w:val="18"/>
              </w:rPr>
              <w:t>19 623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rPr>
            </w:pPr>
            <w:r w:rsidRPr="00643C4C">
              <w:rPr>
                <w:sz w:val="18"/>
              </w:rPr>
              <w:t>76</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rPr>
            </w:pPr>
            <w:r w:rsidRPr="00643C4C">
              <w:rPr>
                <w:sz w:val="18"/>
              </w:rPr>
              <w:t>0,</w:t>
            </w:r>
            <w:r w:rsidR="008F014C" w:rsidRPr="00643C4C">
              <w:rPr>
                <w:sz w:val="18"/>
              </w:rPr>
              <w:t>39%</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1992</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19 919</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-35</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18%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23 803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5C6CA9" w:rsidP="00643C4C">
            <w:pPr>
              <w:jc w:val="center"/>
              <w:rPr>
                <w:sz w:val="18"/>
                <w:szCs w:val="18"/>
              </w:rPr>
            </w:pPr>
            <w:r>
              <w:rPr>
                <w:sz w:val="18"/>
                <w:szCs w:val="18"/>
              </w:rPr>
              <w:t>4 180</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5C6CA9" w:rsidP="005C6CA9">
            <w:pPr>
              <w:jc w:val="center"/>
              <w:rPr>
                <w:sz w:val="18"/>
                <w:szCs w:val="18"/>
              </w:rPr>
            </w:pPr>
            <w:r>
              <w:rPr>
                <w:sz w:val="18"/>
                <w:szCs w:val="18"/>
              </w:rPr>
              <w:t>17,56</w:t>
            </w:r>
            <w:r w:rsidR="008F014C" w:rsidRPr="00643C4C">
              <w:rPr>
                <w:sz w:val="18"/>
                <w:szCs w:val="18"/>
              </w:rPr>
              <w:t>%</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1993</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19 925</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-20</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23 834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31</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13%</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1994</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19 888</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-37</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23 896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62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26%</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1995</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19 958</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70</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35%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23 921</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25</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10%</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1996</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20 040</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82</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41%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23 889</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-32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13%</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1997</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19 996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-44</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22%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23 827</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-62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26%</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1998</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20 012</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16</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08%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23 708</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-10</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04%</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1999</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20 034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22</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11%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23 657</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-51</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22%</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2000</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20 010</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-24</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12%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23 576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-81</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34%</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2001</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19 676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-21</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11%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23 621</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45</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19%</w:t>
            </w:r>
          </w:p>
        </w:tc>
      </w:tr>
      <w:tr w:rsidR="008F014C" w:rsidRPr="00BE4E54" w:rsidTr="00643C4C">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0F79C1" w:rsidRDefault="008F014C" w:rsidP="0047799D">
            <w:pPr>
              <w:pStyle w:val="Bezmezer"/>
              <w:rPr>
                <w:b/>
                <w:sz w:val="20"/>
              </w:rPr>
            </w:pPr>
            <w:r w:rsidRPr="000F79C1">
              <w:rPr>
                <w:b/>
                <w:sz w:val="20"/>
              </w:rPr>
              <w:t>2002</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19 615</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-61</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643C4C" w:rsidRDefault="008F014C" w:rsidP="00643C4C">
            <w:pPr>
              <w:jc w:val="center"/>
              <w:rPr>
                <w:sz w:val="18"/>
                <w:szCs w:val="18"/>
              </w:rPr>
            </w:pPr>
            <w:r w:rsidRPr="00643C4C">
              <w:rPr>
                <w:sz w:val="18"/>
                <w:szCs w:val="18"/>
              </w:rPr>
              <w:t>-</w:t>
            </w:r>
            <w:r w:rsidR="00586D47" w:rsidRPr="00643C4C">
              <w:rPr>
                <w:sz w:val="18"/>
                <w:szCs w:val="18"/>
              </w:rPr>
              <w:t>0,</w:t>
            </w:r>
            <w:r w:rsidRPr="00643C4C">
              <w:rPr>
                <w:sz w:val="18"/>
                <w:szCs w:val="18"/>
              </w:rPr>
              <w:t>31%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643C4C" w:rsidRDefault="008F014C" w:rsidP="00643C4C">
            <w:pPr>
              <w:pStyle w:val="Bezmezer"/>
              <w:jc w:val="center"/>
              <w:rPr>
                <w:b/>
                <w:sz w:val="18"/>
                <w:szCs w:val="18"/>
              </w:rPr>
            </w:pPr>
            <w:r w:rsidRPr="00643C4C">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23 639</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643C4C" w:rsidRDefault="008F014C" w:rsidP="00643C4C">
            <w:pPr>
              <w:jc w:val="center"/>
              <w:rPr>
                <w:sz w:val="18"/>
                <w:szCs w:val="18"/>
              </w:rPr>
            </w:pPr>
            <w:r w:rsidRPr="00643C4C">
              <w:rPr>
                <w:sz w:val="18"/>
                <w:szCs w:val="18"/>
              </w:rPr>
              <w:t>18</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643C4C" w:rsidRDefault="00586D47" w:rsidP="00643C4C">
            <w:pPr>
              <w:jc w:val="center"/>
              <w:rPr>
                <w:sz w:val="18"/>
                <w:szCs w:val="18"/>
              </w:rPr>
            </w:pPr>
            <w:r w:rsidRPr="00643C4C">
              <w:rPr>
                <w:sz w:val="18"/>
                <w:szCs w:val="18"/>
              </w:rPr>
              <w:t>0,</w:t>
            </w:r>
            <w:r w:rsidR="008F014C" w:rsidRPr="00643C4C">
              <w:rPr>
                <w:sz w:val="18"/>
                <w:szCs w:val="18"/>
              </w:rPr>
              <w:t>08%</w:t>
            </w:r>
          </w:p>
        </w:tc>
      </w:tr>
      <w:tr w:rsidR="00643C4C" w:rsidRPr="00BE4E54" w:rsidTr="00643C4C">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643C4C" w:rsidRPr="000F79C1" w:rsidRDefault="00643C4C" w:rsidP="0047799D">
            <w:pPr>
              <w:pStyle w:val="Bezmezer"/>
              <w:rPr>
                <w:b/>
                <w:sz w:val="20"/>
              </w:rPr>
            </w:pPr>
            <w:r w:rsidRPr="000F79C1">
              <w:rPr>
                <w:b/>
                <w:sz w:val="20"/>
              </w:rPr>
              <w:t>2003</w:t>
            </w:r>
          </w:p>
        </w:tc>
        <w:tc>
          <w:tcPr>
            <w:tcW w:w="682" w:type="pct"/>
            <w:tcBorders>
              <w:top w:val="single" w:sz="6" w:space="0" w:color="auto"/>
              <w:left w:val="single" w:sz="6" w:space="0" w:color="auto"/>
              <w:bottom w:val="double" w:sz="4" w:space="0" w:color="auto"/>
              <w:right w:val="single" w:sz="6" w:space="0" w:color="auto"/>
            </w:tcBorders>
            <w:vAlign w:val="center"/>
          </w:tcPr>
          <w:p w:rsidR="00643C4C" w:rsidRPr="00643C4C" w:rsidRDefault="00643C4C" w:rsidP="00643C4C">
            <w:pPr>
              <w:jc w:val="center"/>
              <w:rPr>
                <w:sz w:val="18"/>
                <w:szCs w:val="18"/>
              </w:rPr>
            </w:pPr>
            <w:r w:rsidRPr="00643C4C">
              <w:rPr>
                <w:sz w:val="18"/>
                <w:szCs w:val="18"/>
              </w:rPr>
              <w:t>19 547</w:t>
            </w:r>
          </w:p>
        </w:tc>
        <w:tc>
          <w:tcPr>
            <w:tcW w:w="727" w:type="pct"/>
            <w:tcBorders>
              <w:top w:val="single" w:sz="6" w:space="0" w:color="auto"/>
              <w:left w:val="single" w:sz="6" w:space="0" w:color="auto"/>
              <w:bottom w:val="double" w:sz="4" w:space="0" w:color="auto"/>
              <w:right w:val="single" w:sz="6" w:space="0" w:color="auto"/>
            </w:tcBorders>
            <w:vAlign w:val="center"/>
          </w:tcPr>
          <w:p w:rsidR="00643C4C" w:rsidRPr="00643C4C" w:rsidRDefault="00643C4C" w:rsidP="00643C4C">
            <w:pPr>
              <w:jc w:val="center"/>
              <w:rPr>
                <w:sz w:val="18"/>
                <w:szCs w:val="18"/>
              </w:rPr>
            </w:pPr>
            <w:r w:rsidRPr="00643C4C">
              <w:rPr>
                <w:sz w:val="18"/>
                <w:szCs w:val="18"/>
              </w:rPr>
              <w:t>-68</w:t>
            </w:r>
          </w:p>
        </w:tc>
        <w:tc>
          <w:tcPr>
            <w:tcW w:w="727" w:type="pct"/>
            <w:tcBorders>
              <w:top w:val="single" w:sz="6" w:space="0" w:color="auto"/>
              <w:left w:val="single" w:sz="6" w:space="0" w:color="auto"/>
              <w:bottom w:val="double" w:sz="4" w:space="0" w:color="auto"/>
              <w:right w:val="double" w:sz="4" w:space="0" w:color="auto"/>
            </w:tcBorders>
            <w:vAlign w:val="center"/>
          </w:tcPr>
          <w:p w:rsidR="00643C4C" w:rsidRPr="00643C4C" w:rsidRDefault="00643C4C" w:rsidP="00643C4C">
            <w:pPr>
              <w:jc w:val="center"/>
              <w:rPr>
                <w:sz w:val="18"/>
                <w:szCs w:val="18"/>
              </w:rPr>
            </w:pPr>
            <w:r w:rsidRPr="00643C4C">
              <w:rPr>
                <w:sz w:val="18"/>
                <w:szCs w:val="18"/>
              </w:rPr>
              <w:t>-0,35%</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643C4C" w:rsidRPr="00643C4C" w:rsidRDefault="00643C4C" w:rsidP="00D43A20">
            <w:pPr>
              <w:pStyle w:val="Bezmezer"/>
              <w:keepNext/>
              <w:jc w:val="center"/>
              <w:rPr>
                <w:sz w:val="18"/>
                <w:szCs w:val="18"/>
              </w:rPr>
            </w:pPr>
          </w:p>
        </w:tc>
      </w:tr>
    </w:tbl>
    <w:p w:rsidR="00D43A20" w:rsidRDefault="00D43A20" w:rsidP="00F7590B">
      <w:pPr>
        <w:pStyle w:val="Tabulka"/>
      </w:pPr>
      <w:bookmarkStart w:id="36" w:name="_Toc469908891"/>
      <w:r>
        <w:t xml:space="preserve">Tab. </w:t>
      </w:r>
      <w:r w:rsidR="005D1BD9">
        <w:fldChar w:fldCharType="begin"/>
      </w:r>
      <w:r w:rsidR="005D1BD9">
        <w:instrText xml:space="preserve"> SEQ Tab. \* ARABIC </w:instrText>
      </w:r>
      <w:r w:rsidR="005D1BD9">
        <w:fldChar w:fldCharType="separate"/>
      </w:r>
      <w:r w:rsidR="003A35BB">
        <w:rPr>
          <w:noProof/>
        </w:rPr>
        <w:t>17</w:t>
      </w:r>
      <w:r w:rsidR="005D1BD9">
        <w:rPr>
          <w:noProof/>
        </w:rPr>
        <w:fldChar w:fldCharType="end"/>
      </w:r>
      <w:r w:rsidR="001E21CC">
        <w:rPr>
          <w:noProof/>
        </w:rPr>
        <w:t xml:space="preserve"> Vývoj počtu obyvatel SO ORP Šternberk mezi lety 1991 – 2015</w:t>
      </w:r>
      <w:bookmarkEnd w:id="36"/>
    </w:p>
    <w:p w:rsidR="007362A9" w:rsidRPr="00E10E72" w:rsidRDefault="007362A9" w:rsidP="007362A9">
      <w:r w:rsidRPr="00E10E72">
        <w:t xml:space="preserve">Počet zemřelých v SO ORP </w:t>
      </w:r>
      <w:r w:rsidR="00AC19AB" w:rsidRPr="00E10E72">
        <w:t>Šternberk</w:t>
      </w:r>
      <w:r w:rsidRPr="00E10E72">
        <w:t xml:space="preserve"> poprvé překonal počet živě narozených v roce 199</w:t>
      </w:r>
      <w:r w:rsidR="00AC19AB" w:rsidRPr="00E10E72">
        <w:t>4</w:t>
      </w:r>
      <w:r w:rsidRPr="00E10E72">
        <w:t xml:space="preserve"> (</w:t>
      </w:r>
      <w:r w:rsidR="00AC19AB" w:rsidRPr="00E10E72">
        <w:t>203</w:t>
      </w:r>
      <w:r w:rsidRPr="00E10E72">
        <w:t xml:space="preserve"> živě narozených, </w:t>
      </w:r>
      <w:r w:rsidR="00AC19AB" w:rsidRPr="00E10E72">
        <w:t>229</w:t>
      </w:r>
      <w:r w:rsidRPr="00E10E72">
        <w:t xml:space="preserve"> zemřelých)</w:t>
      </w:r>
      <w:r w:rsidR="00AC19AB" w:rsidRPr="00E10E72">
        <w:t>. Tento trend pokračoval do roku 2005.</w:t>
      </w:r>
      <w:r w:rsidRPr="00E10E72">
        <w:t xml:space="preserve"> </w:t>
      </w:r>
      <w:r w:rsidR="00963068" w:rsidRPr="00E10E72">
        <w:t>Od roku 2006 docház</w:t>
      </w:r>
      <w:r w:rsidR="00B54F81">
        <w:t>elo</w:t>
      </w:r>
      <w:r w:rsidR="00963068" w:rsidRPr="00E10E72">
        <w:t xml:space="preserve"> k pravidelnému střídání rok</w:t>
      </w:r>
      <w:r w:rsidR="00E32CA1">
        <w:t>ů</w:t>
      </w:r>
      <w:r w:rsidR="00963068" w:rsidRPr="00E10E72">
        <w:t xml:space="preserve"> </w:t>
      </w:r>
      <w:r w:rsidR="00963068" w:rsidRPr="00E10E72">
        <w:lastRenderedPageBreak/>
        <w:t>s vyšším počtem živě narozených s roky s vyšším počtem zemřelých.</w:t>
      </w:r>
      <w:r w:rsidRPr="00E10E72">
        <w:t xml:space="preserve"> </w:t>
      </w:r>
      <w:r w:rsidR="00963068" w:rsidRPr="00E10E72">
        <w:t xml:space="preserve">Počet živě narozených a počet zemřelých </w:t>
      </w:r>
      <w:r w:rsidR="00E10E72" w:rsidRPr="00E10E72">
        <w:t xml:space="preserve">v jednotlivých letech </w:t>
      </w:r>
      <w:r w:rsidR="003B35A2">
        <w:t>měl stagnující</w:t>
      </w:r>
      <w:r w:rsidR="00E10E72" w:rsidRPr="00E10E72">
        <w:t xml:space="preserve"> </w:t>
      </w:r>
      <w:r w:rsidR="001B1DAA">
        <w:t>tendenci</w:t>
      </w:r>
      <w:r w:rsidR="00E10E72" w:rsidRPr="00E10E72">
        <w:t>.</w:t>
      </w:r>
    </w:p>
    <w:p w:rsidR="007362A9" w:rsidRDefault="007362A9" w:rsidP="007362A9">
      <w:r w:rsidRPr="00566B4E">
        <w:t>Z hlediska přírůstku obyvatel stěhováním docház</w:t>
      </w:r>
      <w:r w:rsidR="00E2476B" w:rsidRPr="00566B4E">
        <w:t>elo</w:t>
      </w:r>
      <w:r w:rsidRPr="00566B4E">
        <w:t xml:space="preserve"> v rámci SO ORP</w:t>
      </w:r>
      <w:r w:rsidR="00566B4E" w:rsidRPr="00566B4E">
        <w:t xml:space="preserve"> Šternberk v jednotlivých letech</w:t>
      </w:r>
      <w:r w:rsidRPr="00566B4E">
        <w:t xml:space="preserve"> k</w:t>
      </w:r>
      <w:r w:rsidR="00E2476B" w:rsidRPr="00566B4E">
        <w:t> poměrně vyrovnanému trendu</w:t>
      </w:r>
      <w:r w:rsidR="003C2E00" w:rsidRPr="00566B4E">
        <w:t xml:space="preserve"> (</w:t>
      </w:r>
      <w:r w:rsidR="00566B4E" w:rsidRPr="00566B4E">
        <w:t>maximální úbytek byl</w:t>
      </w:r>
      <w:r w:rsidR="003C2E00" w:rsidRPr="00566B4E">
        <w:t xml:space="preserve"> 0,34 %, nárůst dosahoval max. 0,50</w:t>
      </w:r>
      <w:r w:rsidR="00566B4E">
        <w:t xml:space="preserve"> %)</w:t>
      </w:r>
      <w:r w:rsidR="00566B4E" w:rsidRPr="00566B4E">
        <w:t>. Od roku 2009 dochází vlivem stěhování k pravidelnému úbytku až 0,37 % ročně.</w:t>
      </w:r>
    </w:p>
    <w:p w:rsidR="00AD6B94" w:rsidRDefault="002C4295" w:rsidP="00AD6B94">
      <w:pPr>
        <w:keepNext/>
      </w:pPr>
      <w:r>
        <w:rPr>
          <w:noProof/>
          <w:lang w:eastAsia="cs-CZ"/>
        </w:rPr>
        <w:drawing>
          <wp:inline distT="0" distB="0" distL="0" distR="0" wp14:anchorId="747B3B0E" wp14:editId="3695897D">
            <wp:extent cx="5760720" cy="3683897"/>
            <wp:effectExtent l="0" t="0" r="11430" b="1206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4295" w:rsidRPr="007E3A45" w:rsidRDefault="00AD6B94" w:rsidP="00D4363C">
      <w:pPr>
        <w:pStyle w:val="Tabulka"/>
      </w:pPr>
      <w:bookmarkStart w:id="37" w:name="_Toc469908868"/>
      <w:r>
        <w:t xml:space="preserve">Graf </w:t>
      </w:r>
      <w:r w:rsidR="005D1BD9">
        <w:fldChar w:fldCharType="begin"/>
      </w:r>
      <w:r w:rsidR="005D1BD9">
        <w:instrText xml:space="preserve"> SEQ Graf \* ARABIC </w:instrText>
      </w:r>
      <w:r w:rsidR="005D1BD9">
        <w:fldChar w:fldCharType="separate"/>
      </w:r>
      <w:r w:rsidR="003A35BB">
        <w:rPr>
          <w:noProof/>
        </w:rPr>
        <w:t>9</w:t>
      </w:r>
      <w:r w:rsidR="005D1BD9">
        <w:rPr>
          <w:noProof/>
        </w:rPr>
        <w:fldChar w:fldCharType="end"/>
      </w:r>
      <w:r w:rsidR="00363E66">
        <w:rPr>
          <w:noProof/>
        </w:rPr>
        <w:t xml:space="preserve"> Vývoj a předpokládaný vývoj počtu obyvatel SO ORP Šternberk v letech 1991 – 2050</w:t>
      </w:r>
      <w:bookmarkEnd w:id="37"/>
    </w:p>
    <w:p w:rsidR="00F373EB" w:rsidRDefault="00F373EB" w:rsidP="00F373EB">
      <w:r w:rsidRPr="00965C31">
        <w:t xml:space="preserve">Výhled počtu obyvatel </w:t>
      </w:r>
      <w:r w:rsidR="000A58D2" w:rsidRPr="00965C31">
        <w:t xml:space="preserve">SO ORP Šternberk </w:t>
      </w:r>
      <w:r w:rsidRPr="00965C31">
        <w:t xml:space="preserve">předpokládá </w:t>
      </w:r>
      <w:r w:rsidR="000A58D2" w:rsidRPr="00965C31">
        <w:t>se stagnujícím až mírně klesajícím trendem</w:t>
      </w:r>
      <w:r w:rsidR="005B6681">
        <w:t xml:space="preserve"> </w:t>
      </w:r>
      <w:r w:rsidR="00EC2326">
        <w:t xml:space="preserve">jak zobrazuje </w:t>
      </w:r>
      <w:r w:rsidR="00EC2326" w:rsidRPr="00EC2326">
        <w:rPr>
          <w:i/>
        </w:rPr>
        <w:t>Graf 9 Vývoj a předpokládaný vývoj počtu obyvatel SO ORP Šternberk v letech 1991 – 2050</w:t>
      </w:r>
      <w:r w:rsidR="00EC2326">
        <w:t xml:space="preserve"> a </w:t>
      </w:r>
      <w:r w:rsidR="00EC2326" w:rsidRPr="00EC2326">
        <w:rPr>
          <w:i/>
        </w:rPr>
        <w:t>Tab. 18 Předpokládaný vývoj počtu obyvatel SO ORP Šternberk do roku 2050</w:t>
      </w:r>
      <w:r w:rsidR="000A58D2" w:rsidRPr="00965C31">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3875D2" w:rsidTr="002744D5">
        <w:tc>
          <w:tcPr>
            <w:tcW w:w="1000" w:type="pct"/>
            <w:tcBorders>
              <w:left w:val="double" w:sz="4" w:space="0" w:color="auto"/>
              <w:bottom w:val="double" w:sz="4" w:space="0" w:color="auto"/>
            </w:tcBorders>
            <w:shd w:val="clear" w:color="auto" w:fill="BCD9DE" w:themeFill="accent5" w:themeFillTint="66"/>
            <w:vAlign w:val="center"/>
          </w:tcPr>
          <w:p w:rsidR="003875D2" w:rsidRPr="004E092F" w:rsidRDefault="003875D2" w:rsidP="008E7C52">
            <w:pPr>
              <w:pStyle w:val="Bezmezer"/>
              <w:jc w:val="center"/>
              <w:rPr>
                <w:b/>
                <w:sz w:val="18"/>
              </w:rPr>
            </w:pPr>
            <w:r w:rsidRPr="004E092F">
              <w:rPr>
                <w:b/>
                <w:sz w:val="18"/>
              </w:rPr>
              <w:t>POČET OBYVATEL</w:t>
            </w:r>
          </w:p>
        </w:tc>
        <w:tc>
          <w:tcPr>
            <w:tcW w:w="1000" w:type="pct"/>
            <w:tcBorders>
              <w:bottom w:val="double" w:sz="4" w:space="0" w:color="auto"/>
            </w:tcBorders>
          </w:tcPr>
          <w:p w:rsidR="003875D2" w:rsidRPr="00965C31" w:rsidRDefault="003875D2" w:rsidP="00965C31">
            <w:pPr>
              <w:jc w:val="center"/>
              <w:rPr>
                <w:sz w:val="18"/>
              </w:rPr>
            </w:pPr>
            <w:r w:rsidRPr="00965C31">
              <w:rPr>
                <w:sz w:val="18"/>
              </w:rPr>
              <w:t>23</w:t>
            </w:r>
            <w:r w:rsidR="00965C31">
              <w:rPr>
                <w:sz w:val="18"/>
              </w:rPr>
              <w:t xml:space="preserve"> </w:t>
            </w:r>
            <w:r w:rsidRPr="00965C31">
              <w:rPr>
                <w:sz w:val="18"/>
              </w:rPr>
              <w:t>913</w:t>
            </w:r>
          </w:p>
        </w:tc>
        <w:tc>
          <w:tcPr>
            <w:tcW w:w="1000" w:type="pct"/>
            <w:tcBorders>
              <w:bottom w:val="double" w:sz="4" w:space="0" w:color="auto"/>
            </w:tcBorders>
          </w:tcPr>
          <w:p w:rsidR="003875D2" w:rsidRPr="00965C31" w:rsidRDefault="003875D2" w:rsidP="00965C31">
            <w:pPr>
              <w:jc w:val="center"/>
              <w:rPr>
                <w:sz w:val="18"/>
              </w:rPr>
            </w:pPr>
            <w:r w:rsidRPr="00965C31">
              <w:rPr>
                <w:sz w:val="18"/>
              </w:rPr>
              <w:t>23</w:t>
            </w:r>
            <w:r w:rsidR="00965C31">
              <w:rPr>
                <w:sz w:val="18"/>
              </w:rPr>
              <w:t xml:space="preserve"> </w:t>
            </w:r>
            <w:r w:rsidRPr="00965C31">
              <w:rPr>
                <w:sz w:val="18"/>
              </w:rPr>
              <w:t>644</w:t>
            </w:r>
          </w:p>
        </w:tc>
        <w:tc>
          <w:tcPr>
            <w:tcW w:w="1000" w:type="pct"/>
            <w:tcBorders>
              <w:bottom w:val="double" w:sz="4" w:space="0" w:color="auto"/>
            </w:tcBorders>
          </w:tcPr>
          <w:p w:rsidR="003875D2" w:rsidRPr="00965C31" w:rsidRDefault="003875D2" w:rsidP="00965C31">
            <w:pPr>
              <w:jc w:val="center"/>
              <w:rPr>
                <w:sz w:val="18"/>
              </w:rPr>
            </w:pPr>
            <w:r w:rsidRPr="00965C31">
              <w:rPr>
                <w:sz w:val="18"/>
              </w:rPr>
              <w:t>23</w:t>
            </w:r>
            <w:r w:rsidR="00965C31">
              <w:rPr>
                <w:sz w:val="18"/>
              </w:rPr>
              <w:t xml:space="preserve"> </w:t>
            </w:r>
            <w:r w:rsidRPr="00965C31">
              <w:rPr>
                <w:sz w:val="18"/>
              </w:rPr>
              <w:t>384</w:t>
            </w:r>
          </w:p>
        </w:tc>
        <w:tc>
          <w:tcPr>
            <w:tcW w:w="1000" w:type="pct"/>
            <w:tcBorders>
              <w:bottom w:val="double" w:sz="4" w:space="0" w:color="auto"/>
              <w:right w:val="double" w:sz="4" w:space="0" w:color="auto"/>
            </w:tcBorders>
          </w:tcPr>
          <w:p w:rsidR="003875D2" w:rsidRPr="00965C31" w:rsidRDefault="003875D2" w:rsidP="00D43A20">
            <w:pPr>
              <w:keepNext/>
              <w:jc w:val="center"/>
              <w:rPr>
                <w:sz w:val="18"/>
              </w:rPr>
            </w:pPr>
            <w:r w:rsidRPr="00965C31">
              <w:rPr>
                <w:sz w:val="18"/>
              </w:rPr>
              <w:t>22</w:t>
            </w:r>
            <w:r w:rsidR="00965C31">
              <w:rPr>
                <w:sz w:val="18"/>
              </w:rPr>
              <w:t xml:space="preserve"> </w:t>
            </w:r>
            <w:r w:rsidRPr="00965C31">
              <w:rPr>
                <w:sz w:val="18"/>
              </w:rPr>
              <w:t>273</w:t>
            </w:r>
          </w:p>
        </w:tc>
      </w:tr>
    </w:tbl>
    <w:p w:rsidR="00473F05" w:rsidRDefault="00D43A20" w:rsidP="00D4363C">
      <w:pPr>
        <w:pStyle w:val="Tabulka"/>
        <w:rPr>
          <w:noProof/>
        </w:rPr>
      </w:pPr>
      <w:bookmarkStart w:id="38" w:name="_Toc469908892"/>
      <w:r>
        <w:t xml:space="preserve">Tab. </w:t>
      </w:r>
      <w:r w:rsidR="005D1BD9">
        <w:fldChar w:fldCharType="begin"/>
      </w:r>
      <w:r w:rsidR="005D1BD9">
        <w:instrText xml:space="preserve"> SEQ Tab. \* ARABIC </w:instrText>
      </w:r>
      <w:r w:rsidR="005D1BD9">
        <w:fldChar w:fldCharType="separate"/>
      </w:r>
      <w:r w:rsidR="003A35BB">
        <w:rPr>
          <w:noProof/>
        </w:rPr>
        <w:t>18</w:t>
      </w:r>
      <w:r w:rsidR="005D1BD9">
        <w:rPr>
          <w:noProof/>
        </w:rPr>
        <w:fldChar w:fldCharType="end"/>
      </w:r>
      <w:r w:rsidR="004D62E0">
        <w:rPr>
          <w:noProof/>
        </w:rPr>
        <w:t xml:space="preserve"> Předpokládaný vývoj počtu obyvatel SO ORP Šternberk do roku 2050</w:t>
      </w:r>
      <w:bookmarkEnd w:id="38"/>
    </w:p>
    <w:p w:rsidR="00F7590B" w:rsidRDefault="00F7590B" w:rsidP="00F7590B"/>
    <w:p w:rsidR="00F7590B" w:rsidRDefault="00F7590B">
      <w:pPr>
        <w:spacing w:before="0" w:after="0"/>
        <w:jc w:val="left"/>
      </w:pPr>
      <w:r>
        <w:br w:type="page"/>
      </w:r>
    </w:p>
    <w:p w:rsidR="00893EB7" w:rsidRDefault="00893EB7" w:rsidP="007B4A75">
      <w:pPr>
        <w:pStyle w:val="Nadpis2"/>
      </w:pPr>
      <w:bookmarkStart w:id="39" w:name="_Toc469989353"/>
      <w:r w:rsidRPr="00F52857">
        <w:lastRenderedPageBreak/>
        <w:t>SO ORP Olomouc</w:t>
      </w:r>
      <w:bookmarkEnd w:id="39"/>
    </w:p>
    <w:p w:rsidR="00473F05" w:rsidRDefault="00473F05" w:rsidP="00473F05">
      <w:r w:rsidRPr="007E3A45">
        <w:t xml:space="preserve">SO ORP </w:t>
      </w:r>
      <w:r w:rsidR="008D08A3">
        <w:t>Olomouc se nachází ve střední</w:t>
      </w:r>
      <w:r w:rsidRPr="007E3A45">
        <w:t xml:space="preserve"> části Olomouckého kraje.</w:t>
      </w:r>
      <w:r>
        <w:t xml:space="preserve"> Na Východě sousedí Moravskoslezským krajem a na jihu s SO ORP Šumperk.</w:t>
      </w:r>
      <w:r w:rsidRPr="007E3A45">
        <w:t xml:space="preserve"> </w:t>
      </w:r>
      <w:r>
        <w:t xml:space="preserve">Západní a severní hranice je tvořena státní hranicí s Polskou republikou. SO ORP </w:t>
      </w:r>
      <w:r w:rsidR="00203133">
        <w:t>Olomouc</w:t>
      </w:r>
      <w:r>
        <w:t xml:space="preserve"> </w:t>
      </w:r>
      <w:r w:rsidRPr="00880964">
        <w:t xml:space="preserve">zahrnuje </w:t>
      </w:r>
      <w:r w:rsidR="009D32D1" w:rsidRPr="00880964">
        <w:t>45</w:t>
      </w:r>
      <w:r w:rsidRPr="00880964">
        <w:t xml:space="preserve"> obcí -</w:t>
      </w:r>
      <w:r>
        <w:t xml:space="preserve"> </w:t>
      </w:r>
      <w:r w:rsidR="009D32D1" w:rsidRPr="009D32D1">
        <w:t>Bělkovice-Lašťany, Blatec, Bohuňovice, Bukovany, Bystročice, Bystrovany, Daskabát, Dolany, Doloplazy, Drahanovice, Dub nad Moravou, Grygov, Hlubočky, Hlušovice, Hněvotí</w:t>
      </w:r>
      <w:r w:rsidR="009D32D1">
        <w:t>n, Horka nad Moravou, Charváty</w:t>
      </w:r>
      <w:r w:rsidR="009D32D1" w:rsidRPr="009D32D1">
        <w:t>, Kožušany-</w:t>
      </w:r>
      <w:proofErr w:type="spellStart"/>
      <w:r w:rsidR="009D32D1" w:rsidRPr="009D32D1">
        <w:t>Tá</w:t>
      </w:r>
      <w:r w:rsidR="00BA1758">
        <w:t>žaly</w:t>
      </w:r>
      <w:proofErr w:type="spellEnd"/>
      <w:r w:rsidR="00BA1758">
        <w:t xml:space="preserve">, Krčmaň, </w:t>
      </w:r>
      <w:proofErr w:type="spellStart"/>
      <w:r w:rsidR="00BA1758">
        <w:t>Křelov-Břuchotín</w:t>
      </w:r>
      <w:proofErr w:type="spellEnd"/>
      <w:r w:rsidR="00BA1758">
        <w:t xml:space="preserve">, </w:t>
      </w:r>
      <w:r w:rsidR="009D32D1" w:rsidRPr="009D32D1">
        <w:t>Liboš, Loučany, Luběnice, Lutín, Majetín, Mrsklesy, Náměšť na Hané, Olomouc, Přáslavice, Příkazy, Samotišky, Skrbeň, Slatinice, Suchonice, Svésedlice, Štěpánov, Těšetice, Tovéř, Tršice, Ústín, Velká Bystřice, Velký Týnec, Velký Újezd</w:t>
      </w:r>
      <w:r w:rsidR="009D32D1">
        <w:t xml:space="preserve"> a </w:t>
      </w:r>
      <w:r w:rsidR="009D32D1" w:rsidRPr="009D32D1">
        <w:t>Věrovany</w:t>
      </w:r>
      <w:r w:rsidR="009D32D1">
        <w:t xml:space="preserve">. </w:t>
      </w:r>
      <w:r w:rsidR="00AE055D" w:rsidRPr="00D828AA">
        <w:t>Od 1. 1. 2016 nově spadá pod SO ORP</w:t>
      </w:r>
      <w:r w:rsidR="00AE055D">
        <w:t xml:space="preserve"> Olomouc</w:t>
      </w:r>
      <w:r w:rsidR="00AE055D" w:rsidRPr="00D828AA">
        <w:t xml:space="preserve"> obec </w:t>
      </w:r>
      <w:r w:rsidR="00AE055D">
        <w:t>Kozlov</w:t>
      </w:r>
      <w:r w:rsidR="00AE055D" w:rsidRPr="00D828AA">
        <w:t>, která byla součástí Vojenského újezdu Libavá</w:t>
      </w:r>
      <w:r w:rsidR="00AE055D">
        <w:t xml:space="preserve">. </w:t>
      </w:r>
      <w:r w:rsidR="008D08A3" w:rsidRPr="001626FA">
        <w:t xml:space="preserve">Obcí s největším počtem obyvatel k 31. 12. 2015 bylo město </w:t>
      </w:r>
      <w:r w:rsidR="00203133" w:rsidRPr="001626FA">
        <w:t>Olomouc</w:t>
      </w:r>
      <w:r w:rsidR="008D08A3" w:rsidRPr="001626FA">
        <w:t xml:space="preserve"> s</w:t>
      </w:r>
      <w:r w:rsidR="00203133" w:rsidRPr="001626FA">
        <w:t> 100 154</w:t>
      </w:r>
      <w:r w:rsidR="008D08A3" w:rsidRPr="001626FA">
        <w:t xml:space="preserve"> obyvateli</w:t>
      </w:r>
      <w:r w:rsidR="008D08A3" w:rsidRPr="008D08A3">
        <w:t xml:space="preserve">, nejmenší pak byla obec </w:t>
      </w:r>
      <w:r w:rsidR="00203133">
        <w:t>Suchonice</w:t>
      </w:r>
      <w:r w:rsidR="008D08A3" w:rsidRPr="008D08A3">
        <w:t xml:space="preserve">, která měla k 31. 12. 2015 </w:t>
      </w:r>
      <w:r w:rsidR="00203133">
        <w:t>188</w:t>
      </w:r>
      <w:r w:rsidR="008D08A3" w:rsidRPr="008D08A3">
        <w:t xml:space="preserve"> evidovaných obyvatel.</w:t>
      </w:r>
    </w:p>
    <w:p w:rsidR="00473F05" w:rsidRDefault="00473F05" w:rsidP="00473F05">
      <w:r>
        <w:t xml:space="preserve">K 31. 12. 2015 bylo v SO ORP </w:t>
      </w:r>
      <w:r w:rsidR="00203133">
        <w:t>Olomouc</w:t>
      </w:r>
      <w:r>
        <w:t xml:space="preserve"> evidováno </w:t>
      </w:r>
      <w:r w:rsidR="00203133" w:rsidRPr="00203133">
        <w:t>163</w:t>
      </w:r>
      <w:r w:rsidR="00203133">
        <w:t> </w:t>
      </w:r>
      <w:r w:rsidR="00203133" w:rsidRPr="00203133">
        <w:t>157</w:t>
      </w:r>
      <w:r w:rsidR="00203133">
        <w:t xml:space="preserve"> </w:t>
      </w:r>
      <w:r>
        <w:t xml:space="preserve">obyvatel, což tvořilo </w:t>
      </w:r>
      <w:r w:rsidR="00203133">
        <w:t>25,7</w:t>
      </w:r>
      <w:r>
        <w:t xml:space="preserve"> % z celkového počtu obyvatel Olomouckého kraje. Vývoj počtu obyvatel měl v SO ORP </w:t>
      </w:r>
      <w:r w:rsidR="00203133">
        <w:t>Olomouc</w:t>
      </w:r>
      <w:r>
        <w:t xml:space="preserve"> měl mezi lety 1991 – 2015 </w:t>
      </w:r>
      <w:r w:rsidR="00203133">
        <w:t>vzrůstající tendenci</w:t>
      </w:r>
      <w:r>
        <w:t xml:space="preserve">. </w:t>
      </w:r>
      <w:r w:rsidR="00203133">
        <w:t xml:space="preserve">Kromě krátkého období mezi lety 1996 – 2004 kdy se meziroční pokles pohyboval mez 0,04 – 0,18 %, byl patrný trend růstu počtu obyvatel. Ten se meziročně dosahoval až k 0,82%. </w:t>
      </w:r>
      <w:r w:rsidR="00CF7743">
        <w:t xml:space="preserve">Jak uvádí </w:t>
      </w:r>
      <w:r w:rsidR="00CF7743" w:rsidRPr="00CF7743">
        <w:rPr>
          <w:i/>
        </w:rPr>
        <w:t>Tab. 19 Vývoj počtu obyvatel SO ORP Olomouc mezi lety 1991 – 2015</w:t>
      </w:r>
      <w:r w:rsidR="00CF7743">
        <w:t xml:space="preserve"> p</w:t>
      </w:r>
      <w:r>
        <w:t xml:space="preserve">očet obyvatel tak mezi lety 1991 – 2015 </w:t>
      </w:r>
      <w:r w:rsidR="00203133">
        <w:t>vzrostl</w:t>
      </w:r>
      <w:r>
        <w:t xml:space="preserve"> z původních </w:t>
      </w:r>
      <w:r w:rsidR="00203133">
        <w:t>15</w:t>
      </w:r>
      <w:r w:rsidR="00A20C9B">
        <w:t>7</w:t>
      </w:r>
      <w:r w:rsidR="00203133">
        <w:t xml:space="preserve"> </w:t>
      </w:r>
      <w:r w:rsidR="00A20C9B">
        <w:t>610</w:t>
      </w:r>
      <w:r>
        <w:t xml:space="preserve"> o</w:t>
      </w:r>
      <w:r w:rsidR="005C001E">
        <w:t xml:space="preserve"> 6 203</w:t>
      </w:r>
      <w:r>
        <w:t xml:space="preserve"> na </w:t>
      </w:r>
      <w:r w:rsidR="00203133">
        <w:t xml:space="preserve">163 </w:t>
      </w:r>
      <w:r w:rsidR="00A20C9B">
        <w:t>813</w:t>
      </w:r>
      <w:r>
        <w:t xml:space="preserve"> obyvatel.</w:t>
      </w:r>
    </w:p>
    <w:p w:rsidR="00473F05" w:rsidRDefault="00CF7743" w:rsidP="00473F05">
      <w:r>
        <w:t>Nejvyšší pokles počtu obyvatel</w:t>
      </w:r>
      <w:r w:rsidR="00473F05" w:rsidRPr="000D233F">
        <w:t xml:space="preserve"> v posledních letech (2010 – 2015)</w:t>
      </w:r>
      <w:r>
        <w:t>,</w:t>
      </w:r>
      <w:r w:rsidR="00473F05" w:rsidRPr="000D233F">
        <w:t xml:space="preserve"> poměrově vzhledem k počtu obyvatel</w:t>
      </w:r>
      <w:r>
        <w:t>,</w:t>
      </w:r>
      <w:r w:rsidR="00473F05" w:rsidRPr="000D233F">
        <w:t xml:space="preserve"> </w:t>
      </w:r>
      <w:r w:rsidR="00A53D55" w:rsidRPr="000D233F">
        <w:t>zastihla nejvíce</w:t>
      </w:r>
      <w:r w:rsidR="00473F05" w:rsidRPr="000D233F">
        <w:t xml:space="preserve"> </w:t>
      </w:r>
      <w:r w:rsidR="004561CF">
        <w:t xml:space="preserve">obnovenou </w:t>
      </w:r>
      <w:r w:rsidR="00A53D55" w:rsidRPr="000D233F">
        <w:t xml:space="preserve">obec </w:t>
      </w:r>
      <w:r w:rsidR="0010611E" w:rsidRPr="000D233F">
        <w:t>Kozlov, kde</w:t>
      </w:r>
      <w:r w:rsidR="00473F05" w:rsidRPr="000D233F">
        <w:t xml:space="preserve"> počet obyvatel klesl z původních </w:t>
      </w:r>
      <w:r w:rsidR="00A53D55" w:rsidRPr="000D233F">
        <w:t>363</w:t>
      </w:r>
      <w:r w:rsidR="00473F05" w:rsidRPr="000D233F">
        <w:t xml:space="preserve"> na </w:t>
      </w:r>
      <w:r w:rsidR="00A53D55" w:rsidRPr="000D233F">
        <w:t>273</w:t>
      </w:r>
      <w:r w:rsidR="00473F05" w:rsidRPr="000D233F">
        <w:t xml:space="preserve"> obyvatel, tj. </w:t>
      </w:r>
      <w:r w:rsidR="0019438F">
        <w:t xml:space="preserve">o </w:t>
      </w:r>
      <w:r w:rsidR="00A53D55" w:rsidRPr="000D233F">
        <w:t xml:space="preserve">24,8 </w:t>
      </w:r>
      <w:r w:rsidR="00473F05" w:rsidRPr="000D233F">
        <w:t xml:space="preserve">%. </w:t>
      </w:r>
      <w:r w:rsidR="00A53D55" w:rsidRPr="000D233F">
        <w:t>Naopak nejvýraznějšímu nárůstu v</w:t>
      </w:r>
      <w:r w:rsidR="00473F05" w:rsidRPr="000D233F">
        <w:t xml:space="preserve"> SO ORP </w:t>
      </w:r>
      <w:r w:rsidR="00A53D55" w:rsidRPr="000D233F">
        <w:t>Olomouc</w:t>
      </w:r>
      <w:r w:rsidR="00473F05" w:rsidRPr="000D233F">
        <w:t xml:space="preserve"> </w:t>
      </w:r>
      <w:r w:rsidR="00A53D55" w:rsidRPr="000D233F">
        <w:t>došlo v obci</w:t>
      </w:r>
      <w:r w:rsidR="00473F05" w:rsidRPr="000D233F">
        <w:t xml:space="preserve"> </w:t>
      </w:r>
      <w:r w:rsidR="000D233F" w:rsidRPr="000D233F">
        <w:t>Suchonice</w:t>
      </w:r>
      <w:r w:rsidR="00042A91" w:rsidRPr="000D233F">
        <w:t>,</w:t>
      </w:r>
      <w:r w:rsidR="00473F05" w:rsidRPr="000D233F">
        <w:t xml:space="preserve"> kde počet obyvatel mezi lety 2010 </w:t>
      </w:r>
      <w:r w:rsidR="0010611E">
        <w:t>–</w:t>
      </w:r>
      <w:r w:rsidR="00473F05" w:rsidRPr="000D233F">
        <w:t xml:space="preserve"> 2015 </w:t>
      </w:r>
      <w:r w:rsidR="0010611E" w:rsidRPr="000D233F">
        <w:t>vzrostl ze 165</w:t>
      </w:r>
      <w:r w:rsidR="00473F05" w:rsidRPr="000D233F">
        <w:t xml:space="preserve"> na </w:t>
      </w:r>
      <w:r w:rsidR="000D233F" w:rsidRPr="000D233F">
        <w:t>188</w:t>
      </w:r>
      <w:r w:rsidR="00473F05" w:rsidRPr="000D233F">
        <w:t xml:space="preserve"> obyvatel, což </w:t>
      </w:r>
      <w:r w:rsidR="0019438F">
        <w:t>činilo</w:t>
      </w:r>
      <w:r w:rsidR="00473F05" w:rsidRPr="000D233F">
        <w:t xml:space="preserve"> </w:t>
      </w:r>
      <w:r w:rsidR="000D233F" w:rsidRPr="000D233F">
        <w:t>přírůstek 13,9 %</w:t>
      </w:r>
      <w:r w:rsidR="00473F05" w:rsidRPr="000D233F">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9A6930">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157 610</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681</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43%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158 433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-46</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03%</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158 895</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1 285</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81%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158 636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203</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13%</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159 509</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614</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38%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159 005</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369</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23%</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159 883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374</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23%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160 044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1 039</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65%</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159 897</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14</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01%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160 720</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676</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42%</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159 650</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-247</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161 262</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542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34%</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159 401</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-249</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16%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161 802</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540</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33%</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159 246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-155</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161 754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563</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35%</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159 094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-152</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162 136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382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24%</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158 928</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-166</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162 502</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366</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23%</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158 633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-67</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163 215</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713</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44%</w:t>
            </w:r>
          </w:p>
        </w:tc>
      </w:tr>
      <w:tr w:rsidR="008F014C" w:rsidRPr="00BE4E54" w:rsidTr="009A6930">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158 352</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-281</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9A6930" w:rsidRDefault="008F014C" w:rsidP="009A6930">
            <w:pPr>
              <w:jc w:val="center"/>
              <w:rPr>
                <w:sz w:val="18"/>
                <w:szCs w:val="18"/>
              </w:rPr>
            </w:pPr>
            <w:r w:rsidRPr="009A6930">
              <w:rPr>
                <w:sz w:val="18"/>
                <w:szCs w:val="18"/>
              </w:rPr>
              <w:t>-</w:t>
            </w:r>
            <w:r w:rsidR="00586D47" w:rsidRPr="009A6930">
              <w:rPr>
                <w:sz w:val="18"/>
                <w:szCs w:val="18"/>
              </w:rPr>
              <w:t>0,</w:t>
            </w:r>
            <w:r w:rsidRPr="009A6930">
              <w:rPr>
                <w:sz w:val="18"/>
                <w:szCs w:val="18"/>
              </w:rPr>
              <w:t>18%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9A6930" w:rsidRDefault="008F014C" w:rsidP="009A6930">
            <w:pPr>
              <w:pStyle w:val="Bezmezer"/>
              <w:jc w:val="center"/>
              <w:rPr>
                <w:b/>
                <w:sz w:val="18"/>
                <w:szCs w:val="18"/>
              </w:rPr>
            </w:pPr>
            <w:r w:rsidRPr="009A6930">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163 813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9A6930" w:rsidRDefault="008F014C" w:rsidP="009A6930">
            <w:pPr>
              <w:jc w:val="center"/>
              <w:rPr>
                <w:sz w:val="18"/>
                <w:szCs w:val="18"/>
              </w:rPr>
            </w:pPr>
            <w:r w:rsidRPr="009A6930">
              <w:rPr>
                <w:sz w:val="18"/>
                <w:szCs w:val="18"/>
              </w:rPr>
              <w:t>598</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9A6930" w:rsidRDefault="00586D47" w:rsidP="009A6930">
            <w:pPr>
              <w:jc w:val="center"/>
              <w:rPr>
                <w:sz w:val="18"/>
                <w:szCs w:val="18"/>
              </w:rPr>
            </w:pPr>
            <w:r w:rsidRPr="009A6930">
              <w:rPr>
                <w:sz w:val="18"/>
                <w:szCs w:val="18"/>
              </w:rPr>
              <w:t>0,</w:t>
            </w:r>
            <w:r w:rsidR="008F014C" w:rsidRPr="009A6930">
              <w:rPr>
                <w:sz w:val="18"/>
                <w:szCs w:val="18"/>
              </w:rPr>
              <w:t>37%</w:t>
            </w:r>
          </w:p>
        </w:tc>
      </w:tr>
      <w:tr w:rsidR="009A6930" w:rsidRPr="00BE4E54" w:rsidTr="009A6930">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9A6930" w:rsidRPr="009A6930" w:rsidRDefault="009A6930" w:rsidP="009A6930">
            <w:pPr>
              <w:pStyle w:val="Bezmezer"/>
              <w:jc w:val="center"/>
              <w:rPr>
                <w:b/>
                <w:sz w:val="18"/>
                <w:szCs w:val="18"/>
              </w:rPr>
            </w:pPr>
            <w:r w:rsidRPr="009A6930">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9A6930" w:rsidRPr="009A6930" w:rsidRDefault="009A6930" w:rsidP="009A6930">
            <w:pPr>
              <w:jc w:val="center"/>
              <w:rPr>
                <w:sz w:val="18"/>
                <w:szCs w:val="18"/>
              </w:rPr>
            </w:pPr>
            <w:r w:rsidRPr="009A6930">
              <w:rPr>
                <w:sz w:val="18"/>
                <w:szCs w:val="18"/>
              </w:rPr>
              <w:t>158 479</w:t>
            </w:r>
          </w:p>
        </w:tc>
        <w:tc>
          <w:tcPr>
            <w:tcW w:w="727" w:type="pct"/>
            <w:tcBorders>
              <w:top w:val="single" w:sz="6" w:space="0" w:color="auto"/>
              <w:left w:val="single" w:sz="6" w:space="0" w:color="auto"/>
              <w:bottom w:val="double" w:sz="4" w:space="0" w:color="auto"/>
              <w:right w:val="single" w:sz="6" w:space="0" w:color="auto"/>
            </w:tcBorders>
            <w:vAlign w:val="center"/>
          </w:tcPr>
          <w:p w:rsidR="009A6930" w:rsidRPr="009A6930" w:rsidRDefault="009A6930" w:rsidP="009A6930">
            <w:pPr>
              <w:jc w:val="center"/>
              <w:rPr>
                <w:sz w:val="18"/>
                <w:szCs w:val="18"/>
              </w:rPr>
            </w:pPr>
            <w:r w:rsidRPr="009A6930">
              <w:rPr>
                <w:sz w:val="18"/>
                <w:szCs w:val="18"/>
              </w:rPr>
              <w:t>127</w:t>
            </w:r>
          </w:p>
        </w:tc>
        <w:tc>
          <w:tcPr>
            <w:tcW w:w="727" w:type="pct"/>
            <w:tcBorders>
              <w:top w:val="single" w:sz="6" w:space="0" w:color="auto"/>
              <w:left w:val="single" w:sz="6" w:space="0" w:color="auto"/>
              <w:bottom w:val="double" w:sz="4" w:space="0" w:color="auto"/>
              <w:right w:val="double" w:sz="4" w:space="0" w:color="auto"/>
            </w:tcBorders>
            <w:vAlign w:val="center"/>
          </w:tcPr>
          <w:p w:rsidR="009A6930" w:rsidRPr="009A6930" w:rsidRDefault="009A6930" w:rsidP="009A6930">
            <w:pPr>
              <w:jc w:val="center"/>
              <w:rPr>
                <w:sz w:val="18"/>
                <w:szCs w:val="18"/>
              </w:rPr>
            </w:pPr>
            <w:r w:rsidRPr="009A6930">
              <w:rPr>
                <w:sz w:val="18"/>
                <w:szCs w:val="18"/>
              </w:rPr>
              <w:t>0,08%</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9A6930" w:rsidRPr="009A6930" w:rsidRDefault="009A6930" w:rsidP="009E0C26">
            <w:pPr>
              <w:pStyle w:val="Bezmezer"/>
              <w:keepNext/>
              <w:jc w:val="center"/>
              <w:rPr>
                <w:sz w:val="18"/>
                <w:szCs w:val="18"/>
              </w:rPr>
            </w:pPr>
          </w:p>
        </w:tc>
      </w:tr>
    </w:tbl>
    <w:p w:rsidR="009E0C26" w:rsidRDefault="009E0C26" w:rsidP="00D4363C">
      <w:pPr>
        <w:pStyle w:val="Tabulka"/>
      </w:pPr>
      <w:bookmarkStart w:id="40" w:name="_Toc469908893"/>
      <w:r>
        <w:t xml:space="preserve">Tab. </w:t>
      </w:r>
      <w:r w:rsidR="005D1BD9">
        <w:fldChar w:fldCharType="begin"/>
      </w:r>
      <w:r w:rsidR="005D1BD9">
        <w:instrText xml:space="preserve"> SEQ Tab. \* ARABIC </w:instrText>
      </w:r>
      <w:r w:rsidR="005D1BD9">
        <w:fldChar w:fldCharType="separate"/>
      </w:r>
      <w:r w:rsidR="003A35BB">
        <w:rPr>
          <w:noProof/>
        </w:rPr>
        <w:t>19</w:t>
      </w:r>
      <w:r w:rsidR="005D1BD9">
        <w:rPr>
          <w:noProof/>
        </w:rPr>
        <w:fldChar w:fldCharType="end"/>
      </w:r>
      <w:r w:rsidR="001E21CC">
        <w:rPr>
          <w:noProof/>
        </w:rPr>
        <w:t xml:space="preserve"> Vývoj počtu obyvatel SO ORP Olomouc mezi lety 1991 – 2015</w:t>
      </w:r>
      <w:bookmarkEnd w:id="40"/>
    </w:p>
    <w:p w:rsidR="007362A9" w:rsidRPr="00B47985" w:rsidRDefault="007362A9" w:rsidP="007362A9">
      <w:r w:rsidRPr="00352891">
        <w:t xml:space="preserve">Počet zemřelých v SO ORP </w:t>
      </w:r>
      <w:r w:rsidR="000D233F" w:rsidRPr="00352891">
        <w:t>Olomouc</w:t>
      </w:r>
      <w:r w:rsidRPr="00352891">
        <w:t xml:space="preserve"> poprvé překonal počet živě narozených v roce 199</w:t>
      </w:r>
      <w:r w:rsidR="00420802" w:rsidRPr="00352891">
        <w:t>4</w:t>
      </w:r>
      <w:r w:rsidRPr="00352891">
        <w:t xml:space="preserve"> (</w:t>
      </w:r>
      <w:r w:rsidR="00567FE6" w:rsidRPr="00352891">
        <w:t xml:space="preserve">1 567 </w:t>
      </w:r>
      <w:r w:rsidRPr="00352891">
        <w:t xml:space="preserve">živě narozených, </w:t>
      </w:r>
      <w:r w:rsidR="00567FE6" w:rsidRPr="00352891">
        <w:t>1 773</w:t>
      </w:r>
      <w:r w:rsidRPr="00352891">
        <w:t xml:space="preserve"> zemřelých)</w:t>
      </w:r>
      <w:r w:rsidR="00567FE6" w:rsidRPr="00352891">
        <w:t>. Tento</w:t>
      </w:r>
      <w:r w:rsidR="00D160B9" w:rsidRPr="00352891">
        <w:t xml:space="preserve"> trend pokračoval do roku 2003.</w:t>
      </w:r>
      <w:r w:rsidRPr="00352891">
        <w:t xml:space="preserve"> </w:t>
      </w:r>
      <w:r w:rsidR="00D160B9" w:rsidRPr="00352891">
        <w:t xml:space="preserve">Od roku 2004 </w:t>
      </w:r>
      <w:r w:rsidR="00351C79">
        <w:t>byl</w:t>
      </w:r>
      <w:r w:rsidR="00D160B9" w:rsidRPr="00352891">
        <w:t xml:space="preserve"> meziročně počet </w:t>
      </w:r>
      <w:r w:rsidR="00D160B9" w:rsidRPr="00B47985">
        <w:t xml:space="preserve">živě </w:t>
      </w:r>
      <w:r w:rsidR="00351C79">
        <w:t xml:space="preserve">narozených </w:t>
      </w:r>
      <w:r w:rsidR="00D160B9" w:rsidRPr="00B47985">
        <w:t xml:space="preserve">vyšší než počet zemřelých. </w:t>
      </w:r>
      <w:r w:rsidR="00776C1B">
        <w:t xml:space="preserve">Počet živě narozených měl </w:t>
      </w:r>
      <w:r w:rsidR="00352891" w:rsidRPr="00B47985">
        <w:t>po poklesu v</w:t>
      </w:r>
      <w:r w:rsidR="00776C1B">
        <w:t> </w:t>
      </w:r>
      <w:r w:rsidR="00352891" w:rsidRPr="00B47985">
        <w:t>9</w:t>
      </w:r>
      <w:r w:rsidR="00776C1B">
        <w:t>0.</w:t>
      </w:r>
      <w:r w:rsidR="00352891" w:rsidRPr="00B47985">
        <w:t xml:space="preserve"> letech rostoucí až stagnující tendenci. Počet zemřelý</w:t>
      </w:r>
      <w:r w:rsidR="00776C1B">
        <w:t>ch</w:t>
      </w:r>
      <w:r w:rsidR="00352891" w:rsidRPr="00B47985">
        <w:t xml:space="preserve"> </w:t>
      </w:r>
      <w:r w:rsidR="00776C1B">
        <w:t>měl</w:t>
      </w:r>
      <w:r w:rsidR="00352891" w:rsidRPr="00B47985">
        <w:t xml:space="preserve"> klesající až stagnující tendenci.</w:t>
      </w:r>
    </w:p>
    <w:p w:rsidR="007362A9" w:rsidRDefault="007362A9" w:rsidP="007362A9">
      <w:r w:rsidRPr="00B47985">
        <w:lastRenderedPageBreak/>
        <w:t>Z hlediska přírůstku obyvatel stěhováním docház</w:t>
      </w:r>
      <w:r w:rsidR="00B911DD" w:rsidRPr="00B47985">
        <w:t xml:space="preserve">elo </w:t>
      </w:r>
      <w:r w:rsidRPr="00B47985">
        <w:t xml:space="preserve">v rámci SO ORP </w:t>
      </w:r>
      <w:r w:rsidR="00B911DD" w:rsidRPr="00B47985">
        <w:t xml:space="preserve">Olomouc </w:t>
      </w:r>
      <w:r w:rsidRPr="00B47985">
        <w:t xml:space="preserve">k dlouhodobému </w:t>
      </w:r>
      <w:r w:rsidR="00B911DD" w:rsidRPr="00B47985">
        <w:t xml:space="preserve">nárůstu počtu obyvatel, který se </w:t>
      </w:r>
      <w:r w:rsidR="00103338" w:rsidRPr="00B47985">
        <w:t>dosahoval</w:t>
      </w:r>
      <w:r w:rsidR="00B911DD" w:rsidRPr="00B47985">
        <w:t xml:space="preserve"> až </w:t>
      </w:r>
      <w:r w:rsidR="00F95C40" w:rsidRPr="00B47985">
        <w:t>0,76 % v roce 1992. V posledních pěti letech byl meziroční nárůst mezi 0,07 – 0,21 %</w:t>
      </w:r>
      <w:r w:rsidR="0026343F" w:rsidRPr="00B47985">
        <w:t>.</w:t>
      </w:r>
      <w:r w:rsidRPr="00B47985">
        <w:t xml:space="preserve"> </w:t>
      </w:r>
      <w:r w:rsidR="0026343F" w:rsidRPr="00B47985">
        <w:t>Výjimkou</w:t>
      </w:r>
      <w:r w:rsidR="0026343F">
        <w:t xml:space="preserve"> byly roky</w:t>
      </w:r>
      <w:r w:rsidR="00AF0A3A">
        <w:t xml:space="preserve"> 2002 a 2004, kdy došlo k meziročnímu úbytku stěhováním o 0,08 %, resp. 0,05 %.</w:t>
      </w:r>
    </w:p>
    <w:p w:rsidR="00BB1E9B" w:rsidRDefault="002C4295" w:rsidP="00BB1E9B">
      <w:pPr>
        <w:keepNext/>
      </w:pPr>
      <w:r>
        <w:rPr>
          <w:noProof/>
          <w:lang w:eastAsia="cs-CZ"/>
        </w:rPr>
        <w:drawing>
          <wp:inline distT="0" distB="0" distL="0" distR="0" wp14:anchorId="21C84E90" wp14:editId="1C7AAF19">
            <wp:extent cx="5760720" cy="3683897"/>
            <wp:effectExtent l="0" t="0" r="11430" b="1206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0C26" w:rsidRDefault="00BB1E9B" w:rsidP="00D4363C">
      <w:pPr>
        <w:pStyle w:val="Tabulka"/>
      </w:pPr>
      <w:bookmarkStart w:id="41" w:name="_Toc469908869"/>
      <w:r>
        <w:t xml:space="preserve">Graf </w:t>
      </w:r>
      <w:r w:rsidR="005D1BD9">
        <w:fldChar w:fldCharType="begin"/>
      </w:r>
      <w:r w:rsidR="005D1BD9">
        <w:instrText xml:space="preserve"> SEQ Graf \* ARABIC </w:instrText>
      </w:r>
      <w:r w:rsidR="005D1BD9">
        <w:fldChar w:fldCharType="separate"/>
      </w:r>
      <w:r w:rsidR="003A35BB">
        <w:rPr>
          <w:noProof/>
        </w:rPr>
        <w:t>10</w:t>
      </w:r>
      <w:r w:rsidR="005D1BD9">
        <w:rPr>
          <w:noProof/>
        </w:rPr>
        <w:fldChar w:fldCharType="end"/>
      </w:r>
      <w:r w:rsidR="00363E66">
        <w:rPr>
          <w:noProof/>
        </w:rPr>
        <w:t xml:space="preserve"> Vývoj a předpokládaný vývoj počtu obyvatel SO ORP Olomouc v letech 1991 – 2050</w:t>
      </w:r>
      <w:bookmarkEnd w:id="41"/>
    </w:p>
    <w:p w:rsidR="00F373EB" w:rsidRDefault="00F373EB" w:rsidP="00F373EB">
      <w:r w:rsidRPr="00B47985">
        <w:t xml:space="preserve">Výhled počtu obyvatel </w:t>
      </w:r>
      <w:r w:rsidR="00B47985" w:rsidRPr="00B47985">
        <w:t xml:space="preserve">SO ORP Olomouc </w:t>
      </w:r>
      <w:r w:rsidRPr="00B47985">
        <w:t xml:space="preserve">předpokládá </w:t>
      </w:r>
      <w:r w:rsidR="00B47985" w:rsidRPr="00B47985">
        <w:t>až na drobné odchylky se zpomal</w:t>
      </w:r>
      <w:r w:rsidR="00776C1B">
        <w:t xml:space="preserve">ujícím se růstem počtu obyvatel jak zobrazuje </w:t>
      </w:r>
      <w:r w:rsidR="00776C1B" w:rsidRPr="00776C1B">
        <w:rPr>
          <w:i/>
        </w:rPr>
        <w:t>Graf 10 Vývoj a předpokládaný vývoj počtu obyvatel SO ORP Olomouc v letech 1991 – 2050</w:t>
      </w:r>
      <w:r w:rsidR="00776C1B">
        <w:t xml:space="preserve"> a </w:t>
      </w:r>
      <w:r w:rsidR="00776C1B" w:rsidRPr="00776C1B">
        <w:rPr>
          <w:i/>
        </w:rPr>
        <w:t>Tab. 20 Předpokládaný vývoj počtu obyvatel SO ORP Olomouc do roku 2050</w:t>
      </w:r>
      <w:r w:rsidR="00776C1B">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3875D2" w:rsidTr="002744D5">
        <w:tc>
          <w:tcPr>
            <w:tcW w:w="1000" w:type="pct"/>
            <w:tcBorders>
              <w:left w:val="double" w:sz="4" w:space="0" w:color="auto"/>
              <w:bottom w:val="double" w:sz="4" w:space="0" w:color="auto"/>
            </w:tcBorders>
            <w:shd w:val="clear" w:color="auto" w:fill="BCD9DE" w:themeFill="accent5" w:themeFillTint="66"/>
            <w:vAlign w:val="center"/>
          </w:tcPr>
          <w:p w:rsidR="003875D2" w:rsidRPr="004E092F" w:rsidRDefault="003875D2" w:rsidP="008E7C52">
            <w:pPr>
              <w:pStyle w:val="Bezmezer"/>
              <w:jc w:val="center"/>
              <w:rPr>
                <w:b/>
                <w:sz w:val="18"/>
              </w:rPr>
            </w:pPr>
            <w:r w:rsidRPr="004E092F">
              <w:rPr>
                <w:b/>
                <w:sz w:val="18"/>
              </w:rPr>
              <w:t>POČET OBYVATEL</w:t>
            </w:r>
          </w:p>
        </w:tc>
        <w:tc>
          <w:tcPr>
            <w:tcW w:w="1000" w:type="pct"/>
            <w:tcBorders>
              <w:bottom w:val="double" w:sz="4" w:space="0" w:color="auto"/>
            </w:tcBorders>
          </w:tcPr>
          <w:p w:rsidR="003875D2" w:rsidRPr="00133CDF" w:rsidRDefault="003875D2" w:rsidP="00133CDF">
            <w:pPr>
              <w:jc w:val="center"/>
              <w:rPr>
                <w:sz w:val="18"/>
              </w:rPr>
            </w:pPr>
            <w:r w:rsidRPr="00133CDF">
              <w:rPr>
                <w:sz w:val="18"/>
              </w:rPr>
              <w:t>163</w:t>
            </w:r>
            <w:r w:rsidR="00133CDF">
              <w:rPr>
                <w:sz w:val="18"/>
              </w:rPr>
              <w:t xml:space="preserve"> </w:t>
            </w:r>
            <w:r w:rsidRPr="00133CDF">
              <w:rPr>
                <w:sz w:val="18"/>
              </w:rPr>
              <w:t>482</w:t>
            </w:r>
          </w:p>
        </w:tc>
        <w:tc>
          <w:tcPr>
            <w:tcW w:w="1000" w:type="pct"/>
            <w:tcBorders>
              <w:bottom w:val="double" w:sz="4" w:space="0" w:color="auto"/>
            </w:tcBorders>
          </w:tcPr>
          <w:p w:rsidR="003875D2" w:rsidRPr="00133CDF" w:rsidRDefault="003875D2" w:rsidP="00133CDF">
            <w:pPr>
              <w:jc w:val="center"/>
              <w:rPr>
                <w:sz w:val="18"/>
              </w:rPr>
            </w:pPr>
            <w:r w:rsidRPr="00133CDF">
              <w:rPr>
                <w:sz w:val="18"/>
              </w:rPr>
              <w:t>164</w:t>
            </w:r>
            <w:r w:rsidR="00133CDF">
              <w:rPr>
                <w:sz w:val="18"/>
              </w:rPr>
              <w:t xml:space="preserve"> </w:t>
            </w:r>
            <w:r w:rsidRPr="00133CDF">
              <w:rPr>
                <w:sz w:val="18"/>
              </w:rPr>
              <w:t>208</w:t>
            </w:r>
          </w:p>
        </w:tc>
        <w:tc>
          <w:tcPr>
            <w:tcW w:w="1000" w:type="pct"/>
            <w:tcBorders>
              <w:bottom w:val="double" w:sz="4" w:space="0" w:color="auto"/>
            </w:tcBorders>
          </w:tcPr>
          <w:p w:rsidR="003875D2" w:rsidRPr="00133CDF" w:rsidRDefault="003875D2" w:rsidP="00133CDF">
            <w:pPr>
              <w:jc w:val="center"/>
              <w:rPr>
                <w:sz w:val="18"/>
              </w:rPr>
            </w:pPr>
            <w:r w:rsidRPr="00133CDF">
              <w:rPr>
                <w:sz w:val="18"/>
              </w:rPr>
              <w:t>164</w:t>
            </w:r>
            <w:r w:rsidR="00133CDF">
              <w:rPr>
                <w:sz w:val="18"/>
              </w:rPr>
              <w:t xml:space="preserve"> </w:t>
            </w:r>
            <w:r w:rsidRPr="00133CDF">
              <w:rPr>
                <w:sz w:val="18"/>
              </w:rPr>
              <w:t>531</w:t>
            </w:r>
          </w:p>
        </w:tc>
        <w:tc>
          <w:tcPr>
            <w:tcW w:w="1000" w:type="pct"/>
            <w:tcBorders>
              <w:bottom w:val="double" w:sz="4" w:space="0" w:color="auto"/>
              <w:right w:val="double" w:sz="4" w:space="0" w:color="auto"/>
            </w:tcBorders>
          </w:tcPr>
          <w:p w:rsidR="003875D2" w:rsidRPr="00133CDF" w:rsidRDefault="003875D2" w:rsidP="009E0C26">
            <w:pPr>
              <w:keepNext/>
              <w:jc w:val="center"/>
              <w:rPr>
                <w:sz w:val="18"/>
              </w:rPr>
            </w:pPr>
            <w:r w:rsidRPr="00133CDF">
              <w:rPr>
                <w:sz w:val="18"/>
              </w:rPr>
              <w:t>165</w:t>
            </w:r>
            <w:r w:rsidR="00133CDF">
              <w:rPr>
                <w:sz w:val="18"/>
              </w:rPr>
              <w:t xml:space="preserve"> </w:t>
            </w:r>
            <w:r w:rsidRPr="00133CDF">
              <w:rPr>
                <w:sz w:val="18"/>
              </w:rPr>
              <w:t>380</w:t>
            </w:r>
          </w:p>
        </w:tc>
      </w:tr>
    </w:tbl>
    <w:p w:rsidR="009E0C26" w:rsidRDefault="009E0C26" w:rsidP="00D4363C">
      <w:pPr>
        <w:pStyle w:val="Tabulka"/>
        <w:rPr>
          <w:noProof/>
        </w:rPr>
      </w:pPr>
      <w:bookmarkStart w:id="42" w:name="_Toc469908894"/>
      <w:r>
        <w:t xml:space="preserve">Tab. </w:t>
      </w:r>
      <w:r w:rsidR="005D1BD9">
        <w:fldChar w:fldCharType="begin"/>
      </w:r>
      <w:r w:rsidR="005D1BD9">
        <w:instrText xml:space="preserve"> SEQ Tab. \* ARABIC </w:instrText>
      </w:r>
      <w:r w:rsidR="005D1BD9">
        <w:fldChar w:fldCharType="separate"/>
      </w:r>
      <w:r w:rsidR="003A35BB">
        <w:rPr>
          <w:noProof/>
        </w:rPr>
        <w:t>20</w:t>
      </w:r>
      <w:r w:rsidR="005D1BD9">
        <w:rPr>
          <w:noProof/>
        </w:rPr>
        <w:fldChar w:fldCharType="end"/>
      </w:r>
      <w:r w:rsidR="004D62E0">
        <w:rPr>
          <w:noProof/>
        </w:rPr>
        <w:t xml:space="preserve"> Předpokládaný vývoj počtu obyvatel SO ORP </w:t>
      </w:r>
      <w:r w:rsidR="00A61103">
        <w:rPr>
          <w:noProof/>
        </w:rPr>
        <w:t>Olomouc</w:t>
      </w:r>
      <w:r w:rsidR="004D62E0">
        <w:rPr>
          <w:noProof/>
        </w:rPr>
        <w:t xml:space="preserve"> do roku 2050</w:t>
      </w:r>
      <w:bookmarkEnd w:id="42"/>
    </w:p>
    <w:p w:rsidR="00F7590B" w:rsidRDefault="00F7590B" w:rsidP="00F7590B"/>
    <w:p w:rsidR="00F7590B" w:rsidRDefault="00F7590B">
      <w:pPr>
        <w:spacing w:before="0" w:after="0"/>
        <w:jc w:val="left"/>
      </w:pPr>
      <w:r>
        <w:br w:type="page"/>
      </w:r>
    </w:p>
    <w:p w:rsidR="00893EB7" w:rsidRDefault="00893EB7" w:rsidP="00B47985">
      <w:pPr>
        <w:pStyle w:val="Nadpis2"/>
      </w:pPr>
      <w:bookmarkStart w:id="43" w:name="_Toc469989354"/>
      <w:r w:rsidRPr="00F52857">
        <w:lastRenderedPageBreak/>
        <w:t>SO ORP Prostějov</w:t>
      </w:r>
      <w:bookmarkEnd w:id="43"/>
    </w:p>
    <w:p w:rsidR="00473F05" w:rsidRDefault="00473F05" w:rsidP="00473F05">
      <w:r w:rsidRPr="007E3A45">
        <w:t xml:space="preserve">SO ORP </w:t>
      </w:r>
      <w:r w:rsidR="00153FBF">
        <w:t>Prostějov</w:t>
      </w:r>
      <w:r w:rsidRPr="007E3A45">
        <w:t xml:space="preserve"> se nachází </w:t>
      </w:r>
      <w:r w:rsidR="00153FBF">
        <w:t>v jihozápadní části</w:t>
      </w:r>
      <w:r w:rsidRPr="007E3A45">
        <w:t xml:space="preserve"> Olomouckého kraje.</w:t>
      </w:r>
      <w:r>
        <w:t xml:space="preserve"> </w:t>
      </w:r>
      <w:r w:rsidR="00153FBF">
        <w:t>Na severovýchodě sousedí s SO ORP Olomouc, na východě s SO ORP Přerov, na severozápadě s SO ORP Konice na severu s SO ORP Litovel</w:t>
      </w:r>
      <w:r>
        <w:t>.</w:t>
      </w:r>
      <w:r w:rsidR="00153FBF">
        <w:t xml:space="preserve"> Na jihu a jihu sousedí se Zlínským krajem a na jihozápadě s krajem Jihomoravským. </w:t>
      </w:r>
      <w:r>
        <w:t xml:space="preserve"> SO ORP </w:t>
      </w:r>
      <w:r w:rsidR="00153FBF">
        <w:t>Prostějov</w:t>
      </w:r>
      <w:r>
        <w:t xml:space="preserve"> zahrnuje </w:t>
      </w:r>
      <w:r w:rsidR="00153FBF">
        <w:t>76</w:t>
      </w:r>
      <w:r w:rsidRPr="00F1188E">
        <w:t xml:space="preserve"> obcí </w:t>
      </w:r>
      <w:r w:rsidR="00153FBF">
        <w:t>–</w:t>
      </w:r>
      <w:r>
        <w:t xml:space="preserve"> </w:t>
      </w:r>
      <w:r w:rsidR="00153FBF" w:rsidRPr="00153FBF">
        <w:t xml:space="preserve">Alojzov, Bedihošť, Bílovice-Lutotín, Biskupice, Bousín, Brodek u Prostějova, Buková, Čehovice, Čechy pod Kosířem, Čelčice, Čelechovice na Hané, Dětkovice, Dobrochov, Dobromilice, Doloplazy, Drahany, Držovice, Dřevnovice, Hluchov, Hradčany-Kobeřice, Hrdibořice, Hrubčice, Hruška, Ivaň, Klenovice na Hané, Klopotovice, Kostelec na Hané, </w:t>
      </w:r>
      <w:proofErr w:type="spellStart"/>
      <w:r w:rsidR="00153FBF" w:rsidRPr="00153FBF">
        <w:t>Koválovice-Osíčany</w:t>
      </w:r>
      <w:proofErr w:type="spellEnd"/>
      <w:r w:rsidR="00153FBF" w:rsidRPr="00153FBF">
        <w:t>, Kralice na Hané, Krumsín, Laškov, Lešany, Malé Hradisko, Mořice, Mostkovice, Myslejovice, Němčice nad Hanou, Nezamyslice, Niva, Obědkovice, Ohrozim, Olšany u Prostějova, Ondratice, Otaslavice, Otinoves, Pavlovice u Kojetína, Pěnčín, Pivín, Plumlov, Prostějov, Prostějovičky, Protivanov, Přemyslovice, Ptení, Rozstání, Seloutky, Skalka, Slatinky, Smržice, Srbce, Stařechovice, Stínava, Tištín, Tvorovice, Určice, Víceměřice, Vícov, Vincencov, Vitčice, Vranovice-Kelčice, Vrbátky, Vrchoslavice, Vřesovice, Výšovice, Zdětín</w:t>
      </w:r>
      <w:r w:rsidR="00153FBF">
        <w:t xml:space="preserve"> a</w:t>
      </w:r>
      <w:r w:rsidR="00153FBF" w:rsidRPr="00153FBF">
        <w:t xml:space="preserve"> Želeč</w:t>
      </w:r>
      <w:r w:rsidR="00153FBF">
        <w:t>.</w:t>
      </w:r>
      <w:r>
        <w:t xml:space="preserve"> </w:t>
      </w:r>
      <w:r w:rsidR="009A7B3F" w:rsidRPr="009A7B3F">
        <w:t>Obcí s největším počtem obyvatel k</w:t>
      </w:r>
      <w:r w:rsidR="009A7B3F">
        <w:t xml:space="preserve"> 31. 12. 2015 bylo město Prostějov</w:t>
      </w:r>
      <w:r w:rsidR="009A7B3F" w:rsidRPr="009A7B3F">
        <w:t xml:space="preserve"> s</w:t>
      </w:r>
      <w:r w:rsidR="009A7B3F">
        <w:t> 43 977</w:t>
      </w:r>
      <w:r w:rsidR="009A7B3F" w:rsidRPr="009A7B3F">
        <w:t xml:space="preserve"> obyvateli, nejmenší pak byla obec </w:t>
      </w:r>
      <w:r w:rsidR="009A7B3F">
        <w:t>Srbce</w:t>
      </w:r>
      <w:r w:rsidR="009A7B3F" w:rsidRPr="009A7B3F">
        <w:t xml:space="preserve">, která měla k 31. 12. 2015 </w:t>
      </w:r>
      <w:r w:rsidR="009A7B3F">
        <w:t>83</w:t>
      </w:r>
      <w:r w:rsidR="009A7B3F" w:rsidRPr="009A7B3F">
        <w:t xml:space="preserve"> evidovaných obyvatel.</w:t>
      </w:r>
    </w:p>
    <w:p w:rsidR="00473F05" w:rsidRDefault="00473F05" w:rsidP="00473F05">
      <w:r>
        <w:t xml:space="preserve">K 31. 12. 2015 bylo v SO ORP </w:t>
      </w:r>
      <w:r w:rsidR="00144BE0">
        <w:t xml:space="preserve">Prostějov </w:t>
      </w:r>
      <w:r>
        <w:t xml:space="preserve">evidováno </w:t>
      </w:r>
      <w:r w:rsidR="00A00423" w:rsidRPr="00A00423">
        <w:t xml:space="preserve">97 969 </w:t>
      </w:r>
      <w:r w:rsidR="00A00423">
        <w:t>obyvatel, což tvořilo 15</w:t>
      </w:r>
      <w:r>
        <w:t>,</w:t>
      </w:r>
      <w:r w:rsidR="00A00423">
        <w:t>4</w:t>
      </w:r>
      <w:r>
        <w:t xml:space="preserve"> % z celkového počtu obyvatel Olomouckého kraje. </w:t>
      </w:r>
      <w:r w:rsidR="00A87BCA">
        <w:t>Kromě druhé poloviny prvního desetiletí nového tisíciletí měl vývoj počtu obyvatel v SO ORP Prostějov klesající tendenci. Meziroční úbytek obyvatel se pohyboval mezi 0,04 – 0,33 %, kromě období mezi lety 2005 – 2011, kdy počet obyvatel meziročně rostl mezi 0,01 – 0,039 %.</w:t>
      </w:r>
      <w:r>
        <w:t xml:space="preserve"> </w:t>
      </w:r>
      <w:r w:rsidR="00DF492E">
        <w:t xml:space="preserve">Jak uvádí </w:t>
      </w:r>
      <w:r w:rsidR="00DF492E" w:rsidRPr="00DF492E">
        <w:rPr>
          <w:i/>
        </w:rPr>
        <w:t>Tab. 21 Vývoj počtu obyvatel SO ORP Prostějov mezi lety 1991 – 2015</w:t>
      </w:r>
      <w:r w:rsidR="00DF492E">
        <w:t xml:space="preserve"> p</w:t>
      </w:r>
      <w:r>
        <w:t xml:space="preserve">očet obyvatel </w:t>
      </w:r>
      <w:r w:rsidR="00A87BCA">
        <w:t xml:space="preserve">tak </w:t>
      </w:r>
      <w:r>
        <w:t xml:space="preserve">mezi lety 1991 – 2015 klesl z původních </w:t>
      </w:r>
      <w:r w:rsidR="00A87BCA">
        <w:t>99 878</w:t>
      </w:r>
      <w:r>
        <w:t xml:space="preserve"> o </w:t>
      </w:r>
      <w:r w:rsidR="00A87BCA">
        <w:t>1 909</w:t>
      </w:r>
      <w:r>
        <w:t xml:space="preserve"> na </w:t>
      </w:r>
      <w:r w:rsidR="00A87BCA">
        <w:t>97 969</w:t>
      </w:r>
      <w:r>
        <w:t xml:space="preserve"> obyvatel.</w:t>
      </w:r>
    </w:p>
    <w:p w:rsidR="00473F05" w:rsidRDefault="00473F05" w:rsidP="00473F05">
      <w:r w:rsidRPr="00872C81">
        <w:t>Klesající tendenci obyvatel v posledních letech (2010 – 2015)</w:t>
      </w:r>
      <w:r w:rsidR="00DF492E">
        <w:t>,</w:t>
      </w:r>
      <w:r w:rsidRPr="00872C81">
        <w:t xml:space="preserve"> poměrově vzhledem k počtu obyvatel</w:t>
      </w:r>
      <w:r w:rsidR="00DF492E">
        <w:t>,</w:t>
      </w:r>
      <w:r w:rsidRPr="00872C81">
        <w:t xml:space="preserve"> pocítila nejvíce obec </w:t>
      </w:r>
      <w:r w:rsidR="00031F72" w:rsidRPr="00872C81">
        <w:t xml:space="preserve">Pavlovice u </w:t>
      </w:r>
      <w:proofErr w:type="gramStart"/>
      <w:r w:rsidR="00031F72" w:rsidRPr="00872C81">
        <w:t>Kojetína</w:t>
      </w:r>
      <w:r w:rsidRPr="00872C81">
        <w:t xml:space="preserve"> kde</w:t>
      </w:r>
      <w:proofErr w:type="gramEnd"/>
      <w:r w:rsidRPr="00872C81">
        <w:t xml:space="preserve"> počet obyvatel klesl z původních </w:t>
      </w:r>
      <w:r w:rsidR="00031F72" w:rsidRPr="00872C81">
        <w:t>299</w:t>
      </w:r>
      <w:r w:rsidRPr="00872C81">
        <w:t xml:space="preserve"> na </w:t>
      </w:r>
      <w:r w:rsidR="00031F72" w:rsidRPr="00872C81">
        <w:t>267</w:t>
      </w:r>
      <w:r w:rsidRPr="00872C81">
        <w:t xml:space="preserve"> obyvatel, tj. </w:t>
      </w:r>
      <w:r w:rsidR="00DF492E">
        <w:t xml:space="preserve">o </w:t>
      </w:r>
      <w:r w:rsidR="00031F72" w:rsidRPr="00872C81">
        <w:t xml:space="preserve">10,7 </w:t>
      </w:r>
      <w:r w:rsidRPr="00872C81">
        <w:t xml:space="preserve">%. Naopak </w:t>
      </w:r>
      <w:r w:rsidR="00DF492E">
        <w:t>opačný trend</w:t>
      </w:r>
      <w:r w:rsidRPr="00872C81">
        <w:t xml:space="preserve"> vývoj</w:t>
      </w:r>
      <w:r w:rsidR="00DF492E">
        <w:t>e</w:t>
      </w:r>
      <w:r w:rsidRPr="00872C81">
        <w:t xml:space="preserve"> počtu obyvatelstva v SO ORP </w:t>
      </w:r>
      <w:r w:rsidR="00F80361" w:rsidRPr="00872C81">
        <w:t>Prostějov</w:t>
      </w:r>
      <w:r w:rsidRPr="00872C81">
        <w:t xml:space="preserve"> </w:t>
      </w:r>
      <w:r w:rsidR="004D55C3">
        <w:t>měla</w:t>
      </w:r>
      <w:r w:rsidRPr="00872C81">
        <w:t xml:space="preserve"> obec </w:t>
      </w:r>
      <w:r w:rsidR="00872C81" w:rsidRPr="00872C81">
        <w:t>Vincencov</w:t>
      </w:r>
      <w:r w:rsidRPr="00872C81">
        <w:t xml:space="preserve">, kde počet obyvatel mezi lety 2010 - 2015 </w:t>
      </w:r>
      <w:r w:rsidR="00872C81" w:rsidRPr="00872C81">
        <w:t>vzrostl ze 108</w:t>
      </w:r>
      <w:r w:rsidRPr="00872C81">
        <w:t xml:space="preserve"> na </w:t>
      </w:r>
      <w:r w:rsidR="00872C81" w:rsidRPr="00872C81">
        <w:t xml:space="preserve">126 </w:t>
      </w:r>
      <w:r w:rsidRPr="00872C81">
        <w:t xml:space="preserve">obyvatel, což </w:t>
      </w:r>
      <w:r w:rsidR="004D55C3">
        <w:t>činilo</w:t>
      </w:r>
      <w:r w:rsidRPr="00872C81">
        <w:t xml:space="preserve"> přírůstek</w:t>
      </w:r>
      <w:r w:rsidR="00872C81" w:rsidRPr="00872C81">
        <w:t xml:space="preserve"> 16,7 %</w:t>
      </w:r>
      <w:r w:rsidRPr="00872C81">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EC6E95">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99 878</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-300</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30%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97 854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-52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05%</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99 683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-195</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20%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97 946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586D47" w:rsidP="00F77A38">
            <w:pPr>
              <w:jc w:val="center"/>
              <w:rPr>
                <w:sz w:val="18"/>
                <w:szCs w:val="18"/>
              </w:rPr>
            </w:pPr>
            <w:r w:rsidRPr="00F77A38">
              <w:rPr>
                <w:sz w:val="18"/>
                <w:szCs w:val="18"/>
              </w:rPr>
              <w:t>0,</w:t>
            </w:r>
            <w:r w:rsidR="008F014C" w:rsidRPr="00F77A38">
              <w:rPr>
                <w:sz w:val="18"/>
                <w:szCs w:val="18"/>
              </w:rPr>
              <w:t>09%</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99 574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-109</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11%</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98 248</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302</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586D47" w:rsidP="00F77A38">
            <w:pPr>
              <w:jc w:val="center"/>
              <w:rPr>
                <w:sz w:val="18"/>
                <w:szCs w:val="18"/>
              </w:rPr>
            </w:pPr>
            <w:r w:rsidRPr="00F77A38">
              <w:rPr>
                <w:sz w:val="18"/>
                <w:szCs w:val="18"/>
              </w:rPr>
              <w:t>0,</w:t>
            </w:r>
            <w:r w:rsidR="008F014C" w:rsidRPr="00F77A38">
              <w:rPr>
                <w:sz w:val="18"/>
                <w:szCs w:val="18"/>
              </w:rPr>
              <w:t>31%</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99 416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-158</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98 631</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383</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586D47" w:rsidP="00F77A38">
            <w:pPr>
              <w:jc w:val="center"/>
              <w:rPr>
                <w:sz w:val="18"/>
                <w:szCs w:val="18"/>
              </w:rPr>
            </w:pPr>
            <w:r w:rsidRPr="00F77A38">
              <w:rPr>
                <w:sz w:val="18"/>
                <w:szCs w:val="18"/>
              </w:rPr>
              <w:t>0,</w:t>
            </w:r>
            <w:r w:rsidR="008F014C" w:rsidRPr="00F77A38">
              <w:rPr>
                <w:sz w:val="18"/>
                <w:szCs w:val="18"/>
              </w:rPr>
              <w:t>39%</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99 093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-323</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33%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98 862</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231</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586D47" w:rsidP="00F77A38">
            <w:pPr>
              <w:jc w:val="center"/>
              <w:rPr>
                <w:sz w:val="18"/>
                <w:szCs w:val="18"/>
              </w:rPr>
            </w:pPr>
            <w:r w:rsidRPr="00F77A38">
              <w:rPr>
                <w:sz w:val="18"/>
                <w:szCs w:val="18"/>
              </w:rPr>
              <w:t>0,</w:t>
            </w:r>
            <w:r w:rsidR="008F014C" w:rsidRPr="00F77A38">
              <w:rPr>
                <w:sz w:val="18"/>
                <w:szCs w:val="18"/>
              </w:rPr>
              <w:t>23%</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98 856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-237</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24%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99 019</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157</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586D47" w:rsidP="00F77A38">
            <w:pPr>
              <w:jc w:val="center"/>
              <w:rPr>
                <w:sz w:val="18"/>
                <w:szCs w:val="18"/>
              </w:rPr>
            </w:pPr>
            <w:r w:rsidRPr="00F77A38">
              <w:rPr>
                <w:sz w:val="18"/>
                <w:szCs w:val="18"/>
              </w:rPr>
              <w:t>0,</w:t>
            </w:r>
            <w:r w:rsidR="008F014C" w:rsidRPr="00F77A38">
              <w:rPr>
                <w:sz w:val="18"/>
                <w:szCs w:val="18"/>
              </w:rPr>
              <w:t>16%</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98 713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-143</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99 033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14</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586D47" w:rsidP="00F77A38">
            <w:pPr>
              <w:jc w:val="center"/>
              <w:rPr>
                <w:sz w:val="18"/>
                <w:szCs w:val="18"/>
              </w:rPr>
            </w:pPr>
            <w:r w:rsidRPr="00F77A38">
              <w:rPr>
                <w:sz w:val="18"/>
                <w:szCs w:val="18"/>
              </w:rPr>
              <w:t>0,</w:t>
            </w:r>
            <w:r w:rsidR="008F014C" w:rsidRPr="00F77A38">
              <w:rPr>
                <w:sz w:val="18"/>
                <w:szCs w:val="18"/>
              </w:rPr>
              <w:t>01%</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98 484</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-229</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23%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98 440</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43</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586D47" w:rsidP="00F77A38">
            <w:pPr>
              <w:jc w:val="center"/>
              <w:rPr>
                <w:sz w:val="18"/>
                <w:szCs w:val="18"/>
              </w:rPr>
            </w:pPr>
            <w:r w:rsidRPr="00F77A38">
              <w:rPr>
                <w:sz w:val="18"/>
                <w:szCs w:val="18"/>
              </w:rPr>
              <w:t>0,</w:t>
            </w:r>
            <w:r w:rsidR="008F014C" w:rsidRPr="00F77A38">
              <w:rPr>
                <w:sz w:val="18"/>
                <w:szCs w:val="18"/>
              </w:rPr>
              <w:t>04%</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98 391</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-93</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09%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98 297</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-143</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15%</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98 293</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98 239</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-58</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06%</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98 126</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-43</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98 128</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-111</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11%</w:t>
            </w:r>
          </w:p>
        </w:tc>
      </w:tr>
      <w:tr w:rsidR="008F014C" w:rsidRPr="00BE4E54" w:rsidTr="00EC6E95">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97 942</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-184</w:t>
            </w:r>
          </w:p>
        </w:tc>
        <w:tc>
          <w:tcPr>
            <w:tcW w:w="727"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8F014C" w:rsidRPr="00F77A38" w:rsidRDefault="008F014C" w:rsidP="00F77A38">
            <w:pPr>
              <w:pStyle w:val="Bezmezer"/>
              <w:jc w:val="center"/>
              <w:rPr>
                <w:b/>
                <w:sz w:val="18"/>
                <w:szCs w:val="18"/>
              </w:rPr>
            </w:pPr>
            <w:r w:rsidRPr="00F77A38">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97 969</w:t>
            </w:r>
          </w:p>
        </w:tc>
        <w:tc>
          <w:tcPr>
            <w:tcW w:w="727" w:type="pct"/>
            <w:tcBorders>
              <w:top w:val="single" w:sz="6" w:space="0" w:color="auto"/>
              <w:left w:val="single" w:sz="6" w:space="0" w:color="auto"/>
              <w:bottom w:val="single" w:sz="6" w:space="0" w:color="auto"/>
              <w:right w:val="single" w:sz="6" w:space="0" w:color="auto"/>
            </w:tcBorders>
            <w:vAlign w:val="center"/>
          </w:tcPr>
          <w:p w:rsidR="008F014C" w:rsidRPr="00F77A38" w:rsidRDefault="008F014C" w:rsidP="00F77A38">
            <w:pPr>
              <w:jc w:val="center"/>
              <w:rPr>
                <w:sz w:val="18"/>
                <w:szCs w:val="18"/>
              </w:rPr>
            </w:pPr>
            <w:r w:rsidRPr="00F77A38">
              <w:rPr>
                <w:sz w:val="18"/>
                <w:szCs w:val="18"/>
              </w:rPr>
              <w:t>-159</w:t>
            </w:r>
          </w:p>
        </w:tc>
        <w:tc>
          <w:tcPr>
            <w:tcW w:w="722" w:type="pct"/>
            <w:tcBorders>
              <w:top w:val="single" w:sz="6" w:space="0" w:color="auto"/>
              <w:left w:val="single" w:sz="6" w:space="0" w:color="auto"/>
              <w:bottom w:val="single" w:sz="6" w:space="0" w:color="auto"/>
              <w:right w:val="double" w:sz="4" w:space="0" w:color="auto"/>
            </w:tcBorders>
            <w:vAlign w:val="center"/>
          </w:tcPr>
          <w:p w:rsidR="008F014C" w:rsidRPr="00F77A38" w:rsidRDefault="008F014C" w:rsidP="00F77A38">
            <w:pPr>
              <w:jc w:val="center"/>
              <w:rPr>
                <w:sz w:val="18"/>
                <w:szCs w:val="18"/>
              </w:rPr>
            </w:pPr>
            <w:r w:rsidRPr="00F77A38">
              <w:rPr>
                <w:sz w:val="18"/>
                <w:szCs w:val="18"/>
              </w:rPr>
              <w:t>-</w:t>
            </w:r>
            <w:r w:rsidR="00586D47" w:rsidRPr="00F77A38">
              <w:rPr>
                <w:sz w:val="18"/>
                <w:szCs w:val="18"/>
              </w:rPr>
              <w:t>0,</w:t>
            </w:r>
            <w:r w:rsidRPr="00F77A38">
              <w:rPr>
                <w:sz w:val="18"/>
                <w:szCs w:val="18"/>
              </w:rPr>
              <w:t>16%</w:t>
            </w:r>
          </w:p>
        </w:tc>
      </w:tr>
      <w:tr w:rsidR="00EC6E95" w:rsidRPr="00BE4E54" w:rsidTr="00EC6E95">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EC6E95" w:rsidRPr="00F77A38" w:rsidRDefault="00EC6E95" w:rsidP="00F77A38">
            <w:pPr>
              <w:pStyle w:val="Bezmezer"/>
              <w:jc w:val="center"/>
              <w:rPr>
                <w:b/>
                <w:sz w:val="18"/>
                <w:szCs w:val="18"/>
              </w:rPr>
            </w:pPr>
            <w:r w:rsidRPr="00F77A38">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EC6E95" w:rsidRPr="00F77A38" w:rsidRDefault="00EC6E95" w:rsidP="00F77A38">
            <w:pPr>
              <w:jc w:val="center"/>
              <w:rPr>
                <w:sz w:val="18"/>
                <w:szCs w:val="18"/>
              </w:rPr>
            </w:pPr>
            <w:r w:rsidRPr="00F77A38">
              <w:rPr>
                <w:sz w:val="18"/>
                <w:szCs w:val="18"/>
              </w:rPr>
              <w:t>97 906</w:t>
            </w:r>
          </w:p>
        </w:tc>
        <w:tc>
          <w:tcPr>
            <w:tcW w:w="727" w:type="pct"/>
            <w:tcBorders>
              <w:top w:val="single" w:sz="6" w:space="0" w:color="auto"/>
              <w:left w:val="single" w:sz="6" w:space="0" w:color="auto"/>
              <w:bottom w:val="double" w:sz="4" w:space="0" w:color="auto"/>
              <w:right w:val="single" w:sz="6" w:space="0" w:color="auto"/>
            </w:tcBorders>
            <w:vAlign w:val="center"/>
          </w:tcPr>
          <w:p w:rsidR="00EC6E95" w:rsidRPr="00F77A38" w:rsidRDefault="00EC6E95" w:rsidP="00F77A38">
            <w:pPr>
              <w:jc w:val="center"/>
              <w:rPr>
                <w:sz w:val="18"/>
                <w:szCs w:val="18"/>
              </w:rPr>
            </w:pPr>
            <w:r w:rsidRPr="00F77A38">
              <w:rPr>
                <w:sz w:val="18"/>
                <w:szCs w:val="18"/>
              </w:rPr>
              <w:t>-36</w:t>
            </w:r>
          </w:p>
        </w:tc>
        <w:tc>
          <w:tcPr>
            <w:tcW w:w="727" w:type="pct"/>
            <w:tcBorders>
              <w:top w:val="single" w:sz="6" w:space="0" w:color="auto"/>
              <w:left w:val="single" w:sz="6" w:space="0" w:color="auto"/>
              <w:bottom w:val="double" w:sz="4" w:space="0" w:color="auto"/>
              <w:right w:val="double" w:sz="4" w:space="0" w:color="auto"/>
            </w:tcBorders>
            <w:vAlign w:val="center"/>
          </w:tcPr>
          <w:p w:rsidR="00EC6E95" w:rsidRPr="00F77A38" w:rsidRDefault="00EC6E95" w:rsidP="00F77A38">
            <w:pPr>
              <w:jc w:val="center"/>
              <w:rPr>
                <w:sz w:val="18"/>
                <w:szCs w:val="18"/>
              </w:rPr>
            </w:pPr>
            <w:r w:rsidRPr="00F77A38">
              <w:rPr>
                <w:sz w:val="18"/>
                <w:szCs w:val="18"/>
              </w:rPr>
              <w:t>-0,04%</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EC6E95" w:rsidRPr="00F77A38" w:rsidRDefault="00EC6E95" w:rsidP="009E0C26">
            <w:pPr>
              <w:pStyle w:val="Bezmezer"/>
              <w:keepNext/>
              <w:jc w:val="center"/>
              <w:rPr>
                <w:sz w:val="18"/>
                <w:szCs w:val="18"/>
              </w:rPr>
            </w:pPr>
          </w:p>
        </w:tc>
      </w:tr>
    </w:tbl>
    <w:p w:rsidR="009E0C26" w:rsidRDefault="009E0C26" w:rsidP="00D4363C">
      <w:pPr>
        <w:pStyle w:val="Tabulka"/>
      </w:pPr>
      <w:bookmarkStart w:id="44" w:name="_Toc469908895"/>
      <w:r>
        <w:t xml:space="preserve">Tab. </w:t>
      </w:r>
      <w:r w:rsidR="005D1BD9">
        <w:fldChar w:fldCharType="begin"/>
      </w:r>
      <w:r w:rsidR="005D1BD9">
        <w:instrText xml:space="preserve"> SEQ Tab. \* ARABIC </w:instrText>
      </w:r>
      <w:r w:rsidR="005D1BD9">
        <w:fldChar w:fldCharType="separate"/>
      </w:r>
      <w:r w:rsidR="003A35BB">
        <w:rPr>
          <w:noProof/>
        </w:rPr>
        <w:t>21</w:t>
      </w:r>
      <w:r w:rsidR="005D1BD9">
        <w:rPr>
          <w:noProof/>
        </w:rPr>
        <w:fldChar w:fldCharType="end"/>
      </w:r>
      <w:r w:rsidR="001B63EE">
        <w:rPr>
          <w:noProof/>
        </w:rPr>
        <w:t xml:space="preserve"> Vývoj počtu obyvatel SO ORP Prostějov mezi lety 1991 – 2015</w:t>
      </w:r>
      <w:bookmarkEnd w:id="44"/>
    </w:p>
    <w:p w:rsidR="007362A9" w:rsidRPr="008520C3" w:rsidRDefault="007362A9" w:rsidP="007362A9">
      <w:r w:rsidRPr="008520C3">
        <w:lastRenderedPageBreak/>
        <w:t xml:space="preserve">Počet zemřelých v SO ORP </w:t>
      </w:r>
      <w:r w:rsidR="005731F4" w:rsidRPr="008520C3">
        <w:t>Prostějov</w:t>
      </w:r>
      <w:r w:rsidRPr="008520C3">
        <w:t xml:space="preserve"> </w:t>
      </w:r>
      <w:r w:rsidR="004D55C3">
        <w:t>byl</w:t>
      </w:r>
      <w:r w:rsidR="00C71030" w:rsidRPr="008520C3">
        <w:t xml:space="preserve"> dlouhodobě meziročně vyšší než počet živě narozených. </w:t>
      </w:r>
      <w:r w:rsidR="004D55C3" w:rsidRPr="008520C3">
        <w:t>Výjimkou</w:t>
      </w:r>
      <w:r w:rsidR="00C71030" w:rsidRPr="008520C3">
        <w:t xml:space="preserve"> byly roky </w:t>
      </w:r>
      <w:r w:rsidR="00216865" w:rsidRPr="008520C3">
        <w:t xml:space="preserve">2007 a 2008 (1 098 a 1 131 živě narozených, 988 s 1 068 zemřelých), kdy počet živě narozených </w:t>
      </w:r>
      <w:r w:rsidR="00801102" w:rsidRPr="008520C3">
        <w:t>poprvé</w:t>
      </w:r>
      <w:r w:rsidR="00216865" w:rsidRPr="008520C3">
        <w:t xml:space="preserve"> a naposledy překonal počet zemřelých. </w:t>
      </w:r>
      <w:r w:rsidR="008520C3" w:rsidRPr="008520C3">
        <w:t xml:space="preserve">Počet narozených i počet zemřelých </w:t>
      </w:r>
      <w:r w:rsidR="00801102">
        <w:t>měl</w:t>
      </w:r>
      <w:r w:rsidR="008520C3" w:rsidRPr="008520C3">
        <w:t xml:space="preserve"> převážně stagnující tendenci.</w:t>
      </w:r>
    </w:p>
    <w:p w:rsidR="007362A9" w:rsidRDefault="007362A9" w:rsidP="007362A9">
      <w:r w:rsidRPr="00A67ADC">
        <w:t>Z hlediska přírůstku obyvatel stěhováním docház</w:t>
      </w:r>
      <w:r w:rsidR="00DD06E7" w:rsidRPr="00A67ADC">
        <w:t xml:space="preserve">elo </w:t>
      </w:r>
      <w:r w:rsidRPr="00A67ADC">
        <w:t>v rámci SO ORP</w:t>
      </w:r>
      <w:r w:rsidR="00E74426" w:rsidRPr="00A67ADC">
        <w:t xml:space="preserve"> Prostějov</w:t>
      </w:r>
      <w:r w:rsidRPr="00A67ADC">
        <w:t xml:space="preserve"> k dlouhodobému </w:t>
      </w:r>
      <w:r w:rsidR="00E74426" w:rsidRPr="00A67ADC">
        <w:t>přírůstku</w:t>
      </w:r>
      <w:r w:rsidRPr="00A67ADC">
        <w:t xml:space="preserve"> který se pohyboval </w:t>
      </w:r>
      <w:r w:rsidR="00DD06E7" w:rsidRPr="00A67ADC">
        <w:t xml:space="preserve">meziročně </w:t>
      </w:r>
      <w:r w:rsidR="00E74426" w:rsidRPr="00A67ADC">
        <w:t xml:space="preserve">od 0,03 do 0,37 %. </w:t>
      </w:r>
      <w:r w:rsidR="00A67ADC" w:rsidRPr="00A67ADC">
        <w:t>V letech</w:t>
      </w:r>
      <w:r w:rsidR="00E74426" w:rsidRPr="00A67ADC">
        <w:t xml:space="preserve"> 2012, 2014 a 2015 ale </w:t>
      </w:r>
      <w:r w:rsidR="00A67ADC" w:rsidRPr="00A67ADC">
        <w:t>začalo pomalu docházet k obratu a počet obyvatel vlivem stěhování začal klesat meziročně o 0,01 – 0,04 %.</w:t>
      </w:r>
      <w:r w:rsidR="00E74426">
        <w:t xml:space="preserve"> </w:t>
      </w:r>
    </w:p>
    <w:p w:rsidR="00473F05" w:rsidRDefault="00473F05" w:rsidP="00473F05"/>
    <w:p w:rsidR="00BB1E9B" w:rsidRDefault="002C4295" w:rsidP="00BB1E9B">
      <w:pPr>
        <w:keepNext/>
      </w:pPr>
      <w:r>
        <w:rPr>
          <w:noProof/>
          <w:lang w:eastAsia="cs-CZ"/>
        </w:rPr>
        <w:drawing>
          <wp:inline distT="0" distB="0" distL="0" distR="0" wp14:anchorId="299C222F" wp14:editId="65D81F37">
            <wp:extent cx="5760720" cy="3683897"/>
            <wp:effectExtent l="0" t="0" r="11430" b="1206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4295" w:rsidRDefault="00BB1E9B" w:rsidP="00D4363C">
      <w:pPr>
        <w:pStyle w:val="Tabulka"/>
      </w:pPr>
      <w:bookmarkStart w:id="45" w:name="_Toc469908870"/>
      <w:r>
        <w:t xml:space="preserve">Graf </w:t>
      </w:r>
      <w:r w:rsidR="005D1BD9">
        <w:fldChar w:fldCharType="begin"/>
      </w:r>
      <w:r w:rsidR="005D1BD9">
        <w:instrText xml:space="preserve"> SEQ Graf \* ARABIC </w:instrText>
      </w:r>
      <w:r w:rsidR="005D1BD9">
        <w:fldChar w:fldCharType="separate"/>
      </w:r>
      <w:r w:rsidR="003A35BB">
        <w:rPr>
          <w:noProof/>
        </w:rPr>
        <w:t>11</w:t>
      </w:r>
      <w:r w:rsidR="005D1BD9">
        <w:rPr>
          <w:noProof/>
        </w:rPr>
        <w:fldChar w:fldCharType="end"/>
      </w:r>
      <w:r w:rsidR="00363E66">
        <w:rPr>
          <w:noProof/>
        </w:rPr>
        <w:t xml:space="preserve"> Vývoj a předpokládaný vývoj počtu obyvatel SO ORP Prostějov v letech 1991 – 2050</w:t>
      </w:r>
      <w:bookmarkEnd w:id="45"/>
    </w:p>
    <w:p w:rsidR="002A14E0" w:rsidRDefault="002A14E0" w:rsidP="002A14E0">
      <w:r w:rsidRPr="00082F31">
        <w:t xml:space="preserve">Výhled počtu obyvatel </w:t>
      </w:r>
      <w:r w:rsidR="00082F31" w:rsidRPr="00082F31">
        <w:t>SO ORP</w:t>
      </w:r>
      <w:r w:rsidR="00801102">
        <w:t xml:space="preserve"> Prostějov</w:t>
      </w:r>
      <w:r w:rsidRPr="00082F31">
        <w:t xml:space="preserve"> </w:t>
      </w:r>
      <w:r w:rsidR="00EA5B1E" w:rsidRPr="00082F31">
        <w:t>předpokládá v </w:t>
      </w:r>
      <w:r w:rsidR="00082F31" w:rsidRPr="00082F31">
        <w:t>nejbližších letech s úbytkem a následnou stagnací až mírným růstem</w:t>
      </w:r>
      <w:r w:rsidR="00E52238">
        <w:t xml:space="preserve"> jak zobrazuje</w:t>
      </w:r>
      <w:r w:rsidR="00E52238" w:rsidRPr="00E52238">
        <w:t xml:space="preserve"> </w:t>
      </w:r>
      <w:r w:rsidR="00E52238" w:rsidRPr="00E52238">
        <w:rPr>
          <w:i/>
        </w:rPr>
        <w:t>Graf 11 Vývoj a předpokládaný vývoj počtu obyvatel SO ORP Prostějov v letech 1991 – 2050</w:t>
      </w:r>
      <w:r w:rsidR="00E52238">
        <w:t xml:space="preserve"> a </w:t>
      </w:r>
      <w:r w:rsidR="00E52238" w:rsidRPr="00E52238">
        <w:rPr>
          <w:i/>
        </w:rPr>
        <w:t>Tab. 22 Předpokládaný vývoj počtu obyvatel SO ORP Prostějov do roku 2050</w:t>
      </w:r>
      <w:r w:rsidRPr="00082F31">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F77A38">
        <w:tc>
          <w:tcPr>
            <w:tcW w:w="1000" w:type="pct"/>
            <w:tcBorders>
              <w:top w:val="double" w:sz="4" w:space="0" w:color="auto"/>
              <w:left w:val="double" w:sz="4" w:space="0" w:color="auto"/>
            </w:tcBorders>
            <w:shd w:val="clear" w:color="auto" w:fill="BCD9DE" w:themeFill="accent5" w:themeFillTint="66"/>
            <w:vAlign w:val="center"/>
          </w:tcPr>
          <w:p w:rsidR="00001D62" w:rsidRPr="00F77A38" w:rsidRDefault="00001D62" w:rsidP="00F77A38">
            <w:pPr>
              <w:jc w:val="center"/>
              <w:rPr>
                <w:sz w:val="18"/>
                <w:szCs w:val="18"/>
              </w:rPr>
            </w:pPr>
            <w:r w:rsidRPr="00F77A38">
              <w:rPr>
                <w:b/>
                <w:sz w:val="18"/>
                <w:szCs w:val="18"/>
              </w:rPr>
              <w:t>ROK</w:t>
            </w:r>
          </w:p>
        </w:tc>
        <w:tc>
          <w:tcPr>
            <w:tcW w:w="1000" w:type="pct"/>
            <w:tcBorders>
              <w:top w:val="double" w:sz="4" w:space="0" w:color="auto"/>
            </w:tcBorders>
            <w:shd w:val="clear" w:color="auto" w:fill="BCD9DE" w:themeFill="accent5" w:themeFillTint="66"/>
            <w:vAlign w:val="center"/>
          </w:tcPr>
          <w:p w:rsidR="00001D62" w:rsidRPr="00F77A38" w:rsidRDefault="00001D62" w:rsidP="00F77A38">
            <w:pPr>
              <w:jc w:val="center"/>
              <w:rPr>
                <w:b/>
                <w:sz w:val="18"/>
                <w:szCs w:val="18"/>
              </w:rPr>
            </w:pPr>
            <w:r w:rsidRPr="00F77A38">
              <w:rPr>
                <w:b/>
                <w:sz w:val="18"/>
                <w:szCs w:val="18"/>
              </w:rPr>
              <w:t>2020</w:t>
            </w:r>
          </w:p>
        </w:tc>
        <w:tc>
          <w:tcPr>
            <w:tcW w:w="1000" w:type="pct"/>
            <w:tcBorders>
              <w:top w:val="double" w:sz="4" w:space="0" w:color="auto"/>
            </w:tcBorders>
            <w:shd w:val="clear" w:color="auto" w:fill="BCD9DE" w:themeFill="accent5" w:themeFillTint="66"/>
            <w:vAlign w:val="center"/>
          </w:tcPr>
          <w:p w:rsidR="00001D62" w:rsidRPr="00F77A38" w:rsidRDefault="00001D62" w:rsidP="00F77A38">
            <w:pPr>
              <w:jc w:val="center"/>
              <w:rPr>
                <w:b/>
                <w:sz w:val="18"/>
                <w:szCs w:val="18"/>
              </w:rPr>
            </w:pPr>
            <w:r w:rsidRPr="00F77A38">
              <w:rPr>
                <w:b/>
                <w:sz w:val="18"/>
                <w:szCs w:val="18"/>
              </w:rPr>
              <w:t>2025</w:t>
            </w:r>
          </w:p>
        </w:tc>
        <w:tc>
          <w:tcPr>
            <w:tcW w:w="1000" w:type="pct"/>
            <w:tcBorders>
              <w:top w:val="double" w:sz="4" w:space="0" w:color="auto"/>
            </w:tcBorders>
            <w:shd w:val="clear" w:color="auto" w:fill="BCD9DE" w:themeFill="accent5" w:themeFillTint="66"/>
            <w:vAlign w:val="center"/>
          </w:tcPr>
          <w:p w:rsidR="00001D62" w:rsidRPr="00F77A38" w:rsidRDefault="00001D62" w:rsidP="00F77A38">
            <w:pPr>
              <w:jc w:val="center"/>
              <w:rPr>
                <w:b/>
                <w:sz w:val="18"/>
                <w:szCs w:val="18"/>
              </w:rPr>
            </w:pPr>
            <w:r w:rsidRPr="00F77A38">
              <w:rPr>
                <w:b/>
                <w:sz w:val="18"/>
                <w:szCs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F77A38" w:rsidRDefault="00001D62" w:rsidP="00F77A38">
            <w:pPr>
              <w:jc w:val="center"/>
              <w:rPr>
                <w:b/>
                <w:sz w:val="18"/>
                <w:szCs w:val="18"/>
              </w:rPr>
            </w:pPr>
            <w:r w:rsidRPr="00F77A38">
              <w:rPr>
                <w:b/>
                <w:sz w:val="18"/>
                <w:szCs w:val="18"/>
              </w:rPr>
              <w:t>2050</w:t>
            </w:r>
          </w:p>
        </w:tc>
      </w:tr>
      <w:tr w:rsidR="002E5F48" w:rsidTr="00F77A38">
        <w:tc>
          <w:tcPr>
            <w:tcW w:w="1000" w:type="pct"/>
            <w:tcBorders>
              <w:left w:val="double" w:sz="4" w:space="0" w:color="auto"/>
              <w:bottom w:val="double" w:sz="4" w:space="0" w:color="auto"/>
            </w:tcBorders>
            <w:shd w:val="clear" w:color="auto" w:fill="BCD9DE" w:themeFill="accent5" w:themeFillTint="66"/>
            <w:vAlign w:val="center"/>
          </w:tcPr>
          <w:p w:rsidR="002E5F48" w:rsidRPr="00F77A38" w:rsidRDefault="002E5F48" w:rsidP="00F77A38">
            <w:pPr>
              <w:pStyle w:val="Bezmezer"/>
              <w:jc w:val="center"/>
              <w:rPr>
                <w:b/>
                <w:sz w:val="18"/>
                <w:szCs w:val="18"/>
              </w:rPr>
            </w:pPr>
            <w:r w:rsidRPr="00F77A38">
              <w:rPr>
                <w:b/>
                <w:sz w:val="18"/>
                <w:szCs w:val="18"/>
              </w:rPr>
              <w:t>POČET OBYVATEL</w:t>
            </w:r>
          </w:p>
        </w:tc>
        <w:tc>
          <w:tcPr>
            <w:tcW w:w="1000" w:type="pct"/>
            <w:tcBorders>
              <w:bottom w:val="double" w:sz="4" w:space="0" w:color="auto"/>
            </w:tcBorders>
            <w:vAlign w:val="center"/>
          </w:tcPr>
          <w:p w:rsidR="002E5F48" w:rsidRPr="00F77A38" w:rsidRDefault="002E5F48" w:rsidP="00F77A38">
            <w:pPr>
              <w:jc w:val="center"/>
              <w:rPr>
                <w:sz w:val="18"/>
                <w:szCs w:val="18"/>
              </w:rPr>
            </w:pPr>
            <w:r w:rsidRPr="00F77A38">
              <w:rPr>
                <w:sz w:val="18"/>
                <w:szCs w:val="18"/>
              </w:rPr>
              <w:t>96</w:t>
            </w:r>
            <w:r w:rsidR="00F77A38">
              <w:rPr>
                <w:sz w:val="18"/>
                <w:szCs w:val="18"/>
              </w:rPr>
              <w:t xml:space="preserve"> </w:t>
            </w:r>
            <w:r w:rsidRPr="00F77A38">
              <w:rPr>
                <w:sz w:val="18"/>
                <w:szCs w:val="18"/>
              </w:rPr>
              <w:t>185</w:t>
            </w:r>
          </w:p>
        </w:tc>
        <w:tc>
          <w:tcPr>
            <w:tcW w:w="1000" w:type="pct"/>
            <w:tcBorders>
              <w:bottom w:val="double" w:sz="4" w:space="0" w:color="auto"/>
            </w:tcBorders>
            <w:vAlign w:val="center"/>
          </w:tcPr>
          <w:p w:rsidR="002E5F48" w:rsidRPr="00F77A38" w:rsidRDefault="002E5F48" w:rsidP="00F77A38">
            <w:pPr>
              <w:jc w:val="center"/>
              <w:rPr>
                <w:sz w:val="18"/>
                <w:szCs w:val="18"/>
              </w:rPr>
            </w:pPr>
            <w:r w:rsidRPr="00F77A38">
              <w:rPr>
                <w:sz w:val="18"/>
                <w:szCs w:val="18"/>
              </w:rPr>
              <w:t>94</w:t>
            </w:r>
            <w:r w:rsidR="00F77A38">
              <w:rPr>
                <w:sz w:val="18"/>
                <w:szCs w:val="18"/>
              </w:rPr>
              <w:t xml:space="preserve"> </w:t>
            </w:r>
            <w:r w:rsidRPr="00F77A38">
              <w:rPr>
                <w:sz w:val="18"/>
                <w:szCs w:val="18"/>
              </w:rPr>
              <w:t>641</w:t>
            </w:r>
          </w:p>
        </w:tc>
        <w:tc>
          <w:tcPr>
            <w:tcW w:w="1000" w:type="pct"/>
            <w:tcBorders>
              <w:bottom w:val="double" w:sz="4" w:space="0" w:color="auto"/>
            </w:tcBorders>
            <w:vAlign w:val="center"/>
          </w:tcPr>
          <w:p w:rsidR="002E5F48" w:rsidRPr="00F77A38" w:rsidRDefault="002E5F48" w:rsidP="00F77A38">
            <w:pPr>
              <w:jc w:val="center"/>
              <w:rPr>
                <w:sz w:val="18"/>
                <w:szCs w:val="18"/>
              </w:rPr>
            </w:pPr>
            <w:r w:rsidRPr="00F77A38">
              <w:rPr>
                <w:sz w:val="18"/>
                <w:szCs w:val="18"/>
              </w:rPr>
              <w:t>93</w:t>
            </w:r>
            <w:r w:rsidR="00F77A38">
              <w:rPr>
                <w:sz w:val="18"/>
                <w:szCs w:val="18"/>
              </w:rPr>
              <w:t xml:space="preserve"> </w:t>
            </w:r>
            <w:r w:rsidRPr="00F77A38">
              <w:rPr>
                <w:sz w:val="18"/>
                <w:szCs w:val="18"/>
              </w:rPr>
              <w:t>498</w:t>
            </w:r>
          </w:p>
        </w:tc>
        <w:tc>
          <w:tcPr>
            <w:tcW w:w="1000" w:type="pct"/>
            <w:tcBorders>
              <w:bottom w:val="double" w:sz="4" w:space="0" w:color="auto"/>
              <w:right w:val="double" w:sz="4" w:space="0" w:color="auto"/>
            </w:tcBorders>
            <w:vAlign w:val="center"/>
          </w:tcPr>
          <w:p w:rsidR="002E5F48" w:rsidRPr="00F77A38" w:rsidRDefault="002E5F48" w:rsidP="009E0C26">
            <w:pPr>
              <w:keepNext/>
              <w:jc w:val="center"/>
              <w:rPr>
                <w:sz w:val="18"/>
                <w:szCs w:val="18"/>
              </w:rPr>
            </w:pPr>
            <w:r w:rsidRPr="00F77A38">
              <w:rPr>
                <w:sz w:val="18"/>
                <w:szCs w:val="18"/>
              </w:rPr>
              <w:t>94</w:t>
            </w:r>
            <w:r w:rsidR="00F77A38">
              <w:rPr>
                <w:sz w:val="18"/>
                <w:szCs w:val="18"/>
              </w:rPr>
              <w:t xml:space="preserve"> </w:t>
            </w:r>
            <w:r w:rsidRPr="00F77A38">
              <w:rPr>
                <w:sz w:val="18"/>
                <w:szCs w:val="18"/>
              </w:rPr>
              <w:t>900</w:t>
            </w:r>
          </w:p>
        </w:tc>
      </w:tr>
    </w:tbl>
    <w:p w:rsidR="009E0C26" w:rsidRDefault="009E0C26" w:rsidP="00D4363C">
      <w:pPr>
        <w:pStyle w:val="Tabulka"/>
        <w:rPr>
          <w:noProof/>
        </w:rPr>
      </w:pPr>
      <w:bookmarkStart w:id="46" w:name="_Toc469908896"/>
      <w:r>
        <w:t xml:space="preserve">Tab. </w:t>
      </w:r>
      <w:r w:rsidR="005D1BD9">
        <w:fldChar w:fldCharType="begin"/>
      </w:r>
      <w:r w:rsidR="005D1BD9">
        <w:instrText xml:space="preserve"> SEQ Tab. \* ARABIC </w:instrText>
      </w:r>
      <w:r w:rsidR="005D1BD9">
        <w:fldChar w:fldCharType="separate"/>
      </w:r>
      <w:r w:rsidR="003A35BB">
        <w:rPr>
          <w:noProof/>
        </w:rPr>
        <w:t>22</w:t>
      </w:r>
      <w:r w:rsidR="005D1BD9">
        <w:rPr>
          <w:noProof/>
        </w:rPr>
        <w:fldChar w:fldCharType="end"/>
      </w:r>
      <w:r w:rsidR="00A61103">
        <w:rPr>
          <w:noProof/>
        </w:rPr>
        <w:t xml:space="preserve"> Předpokládaný vývoj počtu obyvatel SO ORP Prostějov do roku 2050</w:t>
      </w:r>
      <w:bookmarkEnd w:id="46"/>
    </w:p>
    <w:p w:rsidR="00F7590B" w:rsidRDefault="00F7590B" w:rsidP="00F7590B"/>
    <w:p w:rsidR="00F7590B" w:rsidRDefault="00F7590B">
      <w:pPr>
        <w:spacing w:before="0" w:after="0"/>
        <w:jc w:val="left"/>
      </w:pPr>
      <w:r>
        <w:br w:type="page"/>
      </w:r>
    </w:p>
    <w:p w:rsidR="00893EB7" w:rsidRDefault="00893EB7" w:rsidP="00F22D11">
      <w:pPr>
        <w:pStyle w:val="Nadpis2"/>
      </w:pPr>
      <w:bookmarkStart w:id="47" w:name="_Toc469989355"/>
      <w:r w:rsidRPr="00F52857">
        <w:lastRenderedPageBreak/>
        <w:t>SO ORP Konice</w:t>
      </w:r>
      <w:bookmarkEnd w:id="47"/>
    </w:p>
    <w:p w:rsidR="00473F05" w:rsidRDefault="00473F05" w:rsidP="00473F05">
      <w:r w:rsidRPr="007E3A45">
        <w:t xml:space="preserve">SO ORP </w:t>
      </w:r>
      <w:r w:rsidR="009B6506">
        <w:t xml:space="preserve">Konice se </w:t>
      </w:r>
      <w:r w:rsidRPr="007E3A45">
        <w:t>nachází v</w:t>
      </w:r>
      <w:r w:rsidR="009B6506">
        <w:t> západní</w:t>
      </w:r>
      <w:r w:rsidRPr="007E3A45">
        <w:t xml:space="preserve"> části Olomouckého kraje.</w:t>
      </w:r>
      <w:r>
        <w:t xml:space="preserve"> </w:t>
      </w:r>
      <w:r w:rsidR="00850FD7">
        <w:t>Na severu sousedí s SO ORP Litovel, na jihovýchodě s SO ORP Prostějov a na západě s Pardubickým a Jihomoravským krajem</w:t>
      </w:r>
      <w:r>
        <w:t xml:space="preserve">. SO ORP </w:t>
      </w:r>
      <w:r w:rsidR="00B7740A">
        <w:t>Konice</w:t>
      </w:r>
      <w:r>
        <w:t xml:space="preserve"> zahrnuje </w:t>
      </w:r>
      <w:r w:rsidRPr="00F1188E">
        <w:t>2</w:t>
      </w:r>
      <w:r w:rsidR="00FA7F1E">
        <w:t>1</w:t>
      </w:r>
      <w:r w:rsidRPr="00F1188E">
        <w:t xml:space="preserve"> obcí </w:t>
      </w:r>
      <w:r w:rsidR="00FA7F1E">
        <w:t>–</w:t>
      </w:r>
      <w:r>
        <w:t xml:space="preserve"> </w:t>
      </w:r>
      <w:r w:rsidR="00FA7F1E" w:rsidRPr="00FA7F1E">
        <w:t>Bohuslavice, Brodek u Konice, Březsko, Budětsko, Dzbel, Hačky, Horní Štěpánov, Hvozd, Jesenec, Kl</w:t>
      </w:r>
      <w:r w:rsidR="00FA7F1E">
        <w:t>adky, Konice, Lipová, Ludmírov, Ochoz, Polomí</w:t>
      </w:r>
      <w:r w:rsidR="00FA7F1E" w:rsidRPr="00FA7F1E">
        <w:t>, Raková u Konice, Rakůvka, Skřípov, Stražisko, Suchdol</w:t>
      </w:r>
      <w:r w:rsidR="00FA7F1E">
        <w:t xml:space="preserve"> a </w:t>
      </w:r>
      <w:r w:rsidR="00FA7F1E" w:rsidRPr="00FA7F1E">
        <w:t>Šubířov</w:t>
      </w:r>
      <w:r w:rsidR="00FA7F1E">
        <w:t>.</w:t>
      </w:r>
      <w:r>
        <w:t xml:space="preserve"> </w:t>
      </w:r>
      <w:r w:rsidR="00FA7F1E" w:rsidRPr="009A7B3F">
        <w:t>Obcí s největším počtem obyvatel k</w:t>
      </w:r>
      <w:r w:rsidR="00FA7F1E">
        <w:t xml:space="preserve"> 31. 12. 2015 bylo město Konice</w:t>
      </w:r>
      <w:r w:rsidR="00FA7F1E" w:rsidRPr="009A7B3F">
        <w:t xml:space="preserve"> s</w:t>
      </w:r>
      <w:r w:rsidR="00FA7F1E">
        <w:t> 2 733</w:t>
      </w:r>
      <w:r w:rsidR="00FA7F1E" w:rsidRPr="009A7B3F">
        <w:t xml:space="preserve"> obyvateli, nejmenší pak byla obec </w:t>
      </w:r>
      <w:r w:rsidR="00FA7F1E">
        <w:t>Rakůvka</w:t>
      </w:r>
      <w:r w:rsidR="00FA7F1E" w:rsidRPr="009A7B3F">
        <w:t xml:space="preserve">, která měla k 31. 12. 2015 </w:t>
      </w:r>
      <w:r w:rsidR="00FA7F1E">
        <w:t>97</w:t>
      </w:r>
      <w:r w:rsidR="00FA7F1E" w:rsidRPr="009A7B3F">
        <w:t xml:space="preserve"> evidovaných obyvatel.</w:t>
      </w:r>
    </w:p>
    <w:p w:rsidR="00473F05" w:rsidRDefault="00473F05" w:rsidP="00473F05">
      <w:r>
        <w:t xml:space="preserve">K 31. 12. 2015 bylo v SO ORP </w:t>
      </w:r>
      <w:r w:rsidR="00B50969">
        <w:t>Konice</w:t>
      </w:r>
      <w:r>
        <w:t xml:space="preserve"> evidováno </w:t>
      </w:r>
      <w:r w:rsidR="00B50969">
        <w:t>10 824 obyvatel, což tvořilo 1</w:t>
      </w:r>
      <w:r>
        <w:t>,</w:t>
      </w:r>
      <w:r w:rsidR="00B50969">
        <w:t>7</w:t>
      </w:r>
      <w:r>
        <w:t xml:space="preserve"> % z celkového počtu obyvatel Olomouckého kraje.</w:t>
      </w:r>
      <w:r w:rsidR="00B50969">
        <w:t xml:space="preserve"> Vývoj počtu obyvatel měl pravidelně klesající </w:t>
      </w:r>
      <w:r w:rsidR="00F15DB8">
        <w:t>tendenci</w:t>
      </w:r>
      <w:r>
        <w:t>.</w:t>
      </w:r>
      <w:r w:rsidR="00B50969">
        <w:t xml:space="preserve"> Meziroční pokles se mezi lety 1991 – 2011 pohyboval mezi 0,16 – 1,13 %. </w:t>
      </w:r>
      <w:r w:rsidR="0037191D">
        <w:t>Výjimkou</w:t>
      </w:r>
      <w:r w:rsidR="00B50969">
        <w:t xml:space="preserve"> byl rok 1999, kdy byl meziroční nárůst obyvatel 0,15%. </w:t>
      </w:r>
      <w:r w:rsidR="0037191D">
        <w:t xml:space="preserve">Jak uvádí </w:t>
      </w:r>
      <w:r w:rsidR="0037191D" w:rsidRPr="0037191D">
        <w:rPr>
          <w:i/>
        </w:rPr>
        <w:t>Tab. 23 Vývoj počtu obyvatel SO ORP Konice mezi lety 1991 – 2015</w:t>
      </w:r>
      <w:r w:rsidR="0037191D">
        <w:t xml:space="preserve"> p</w:t>
      </w:r>
      <w:r>
        <w:t xml:space="preserve">očet obyvatel mezi lety 1991 – 2015 klesl z původních </w:t>
      </w:r>
      <w:r w:rsidR="00103338">
        <w:t>12 022</w:t>
      </w:r>
      <w:r>
        <w:t xml:space="preserve"> o </w:t>
      </w:r>
      <w:r w:rsidR="00103338">
        <w:t>1 198</w:t>
      </w:r>
      <w:r>
        <w:t xml:space="preserve"> na </w:t>
      </w:r>
      <w:r w:rsidR="006232C6">
        <w:t>10 824</w:t>
      </w:r>
      <w:r>
        <w:t xml:space="preserve"> obyvatel.</w:t>
      </w:r>
    </w:p>
    <w:p w:rsidR="00473F05" w:rsidRDefault="00473F05" w:rsidP="00473F05">
      <w:r w:rsidRPr="00E631FC">
        <w:t>Klesající tendenci obyvatel v posledních letech (2010 – 2015)</w:t>
      </w:r>
      <w:r w:rsidR="0037191D">
        <w:t>,</w:t>
      </w:r>
      <w:r w:rsidRPr="00E631FC">
        <w:t xml:space="preserve"> poměrově vzhledem k počtu obyvatel</w:t>
      </w:r>
      <w:r w:rsidR="0037191D">
        <w:t>,</w:t>
      </w:r>
      <w:r w:rsidRPr="00E631FC">
        <w:t xml:space="preserve"> pocítila nejvíce obec </w:t>
      </w:r>
      <w:r w:rsidR="001336B2" w:rsidRPr="00E631FC">
        <w:t xml:space="preserve">Brodek u </w:t>
      </w:r>
      <w:r w:rsidR="00F14B08" w:rsidRPr="00E631FC">
        <w:t>Konice, kde</w:t>
      </w:r>
      <w:r w:rsidRPr="00E631FC">
        <w:t xml:space="preserve"> počet obyvatel klesl z původních </w:t>
      </w:r>
      <w:r w:rsidR="001336B2" w:rsidRPr="00E631FC">
        <w:t>913</w:t>
      </w:r>
      <w:r w:rsidRPr="00E631FC">
        <w:t xml:space="preserve"> na </w:t>
      </w:r>
      <w:r w:rsidR="001336B2" w:rsidRPr="00E631FC">
        <w:t>840</w:t>
      </w:r>
      <w:r w:rsidRPr="00E631FC">
        <w:t xml:space="preserve"> obyvatel, tj.</w:t>
      </w:r>
      <w:r w:rsidR="0037191D">
        <w:t xml:space="preserve"> o</w:t>
      </w:r>
      <w:r w:rsidR="000D77A6" w:rsidRPr="00E631FC">
        <w:t xml:space="preserve"> 8</w:t>
      </w:r>
      <w:r w:rsidRPr="00E631FC">
        <w:t xml:space="preserve"> %. Naopak </w:t>
      </w:r>
      <w:r w:rsidR="00D60378">
        <w:t>opačný trend</w:t>
      </w:r>
      <w:r w:rsidR="0037191D">
        <w:t xml:space="preserve"> vývoje</w:t>
      </w:r>
      <w:r w:rsidRPr="00E631FC">
        <w:t xml:space="preserve"> počtu obyvatelstva v SO ORP </w:t>
      </w:r>
      <w:r w:rsidR="00E631FC" w:rsidRPr="00E631FC">
        <w:t>Konice</w:t>
      </w:r>
      <w:r w:rsidRPr="00E631FC">
        <w:t xml:space="preserve"> </w:t>
      </w:r>
      <w:r w:rsidR="00D60378">
        <w:t>měla</w:t>
      </w:r>
      <w:r w:rsidRPr="00E631FC">
        <w:t xml:space="preserve"> obec </w:t>
      </w:r>
      <w:r w:rsidR="00E631FC" w:rsidRPr="00E631FC">
        <w:t>Budětsko</w:t>
      </w:r>
      <w:r w:rsidRPr="00E631FC">
        <w:t xml:space="preserve">, kde počet obyvatel mezi lety 2010 - 2015 </w:t>
      </w:r>
      <w:r w:rsidR="00F14B08" w:rsidRPr="00E631FC">
        <w:t>vzrostl ze 408</w:t>
      </w:r>
      <w:r w:rsidR="00E631FC" w:rsidRPr="00E631FC">
        <w:t xml:space="preserve"> </w:t>
      </w:r>
      <w:r w:rsidRPr="00E631FC">
        <w:t xml:space="preserve">na </w:t>
      </w:r>
      <w:r w:rsidR="00E631FC" w:rsidRPr="00E631FC">
        <w:t>431</w:t>
      </w:r>
      <w:r w:rsidRPr="00E631FC">
        <w:t xml:space="preserve"> obyvatel, což </w:t>
      </w:r>
      <w:r w:rsidR="00D60378">
        <w:t>činilo</w:t>
      </w:r>
      <w:r w:rsidR="00E631FC" w:rsidRPr="00E631FC">
        <w:t xml:space="preserve"> </w:t>
      </w:r>
      <w:r w:rsidRPr="00E631FC">
        <w:t>přírůstek</w:t>
      </w:r>
      <w:r w:rsidR="00E631FC" w:rsidRPr="00E631FC">
        <w:t xml:space="preserve"> 5,6 %</w:t>
      </w:r>
      <w:r w:rsidRPr="00E631FC">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E54588">
        <w:trPr>
          <w:cantSplit/>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12 022</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-129</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-1.07%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11 513</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-20</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17%</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11 986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-36</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30%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11 483</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-30</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26%</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11 916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-70</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59%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11 385</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-98</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86%</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11 860</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-56</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11 348</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-37</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33%</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11 841</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-19</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16%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11 297</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-51</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45%</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11 787</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-54</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11 195</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-102</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91%</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11 733</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-54</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11 149</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-46</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41%</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11 707</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-26</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22%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11 099</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-53</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48%</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11 725</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18</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86D47" w:rsidP="00727A13">
            <w:pPr>
              <w:jc w:val="center"/>
              <w:rPr>
                <w:sz w:val="18"/>
                <w:szCs w:val="18"/>
              </w:rPr>
            </w:pPr>
            <w:r w:rsidRPr="00727A13">
              <w:rPr>
                <w:sz w:val="18"/>
                <w:szCs w:val="18"/>
              </w:rPr>
              <w:t>0,</w:t>
            </w:r>
            <w:r w:rsidR="0056700C" w:rsidRPr="00727A13">
              <w:rPr>
                <w:sz w:val="18"/>
                <w:szCs w:val="18"/>
              </w:rPr>
              <w:t>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11 049</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-50</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45%</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11 676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-49</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42%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10 984</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-65</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59%</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11 647</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-72</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62%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10 909</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-75</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69%</w:t>
            </w:r>
          </w:p>
        </w:tc>
      </w:tr>
      <w:tr w:rsidR="0056700C" w:rsidRPr="00BE4E54" w:rsidTr="00C55EDF">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11 582</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-65</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56%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727A13" w:rsidRDefault="0056700C" w:rsidP="00727A13">
            <w:pPr>
              <w:pStyle w:val="Bezmezer"/>
              <w:jc w:val="center"/>
              <w:rPr>
                <w:b/>
                <w:sz w:val="18"/>
                <w:szCs w:val="18"/>
              </w:rPr>
            </w:pPr>
            <w:r w:rsidRPr="00727A13">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10 824</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727A13" w:rsidRDefault="0056700C" w:rsidP="00727A13">
            <w:pPr>
              <w:jc w:val="center"/>
              <w:rPr>
                <w:sz w:val="18"/>
                <w:szCs w:val="18"/>
              </w:rPr>
            </w:pPr>
            <w:r w:rsidRPr="00727A13">
              <w:rPr>
                <w:sz w:val="18"/>
                <w:szCs w:val="18"/>
              </w:rPr>
              <w:t>-85</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727A13" w:rsidRDefault="0056700C" w:rsidP="00727A13">
            <w:pPr>
              <w:jc w:val="center"/>
              <w:rPr>
                <w:sz w:val="18"/>
                <w:szCs w:val="18"/>
              </w:rPr>
            </w:pPr>
            <w:r w:rsidRPr="00727A13">
              <w:rPr>
                <w:sz w:val="18"/>
                <w:szCs w:val="18"/>
              </w:rPr>
              <w:t>-</w:t>
            </w:r>
            <w:r w:rsidR="00586D47" w:rsidRPr="00727A13">
              <w:rPr>
                <w:sz w:val="18"/>
                <w:szCs w:val="18"/>
              </w:rPr>
              <w:t>0,</w:t>
            </w:r>
            <w:r w:rsidRPr="00727A13">
              <w:rPr>
                <w:sz w:val="18"/>
                <w:szCs w:val="18"/>
              </w:rPr>
              <w:t>79%</w:t>
            </w:r>
          </w:p>
        </w:tc>
      </w:tr>
      <w:tr w:rsidR="00C55EDF" w:rsidRPr="00BE4E54" w:rsidTr="00C55EDF">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C55EDF" w:rsidRPr="00727A13" w:rsidRDefault="00C55EDF" w:rsidP="00727A13">
            <w:pPr>
              <w:pStyle w:val="Bezmezer"/>
              <w:jc w:val="center"/>
              <w:rPr>
                <w:b/>
                <w:sz w:val="18"/>
                <w:szCs w:val="18"/>
              </w:rPr>
            </w:pPr>
            <w:r w:rsidRPr="00727A13">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C55EDF" w:rsidRPr="00727A13" w:rsidRDefault="00C55EDF" w:rsidP="00727A13">
            <w:pPr>
              <w:jc w:val="center"/>
              <w:rPr>
                <w:sz w:val="18"/>
                <w:szCs w:val="18"/>
              </w:rPr>
            </w:pPr>
            <w:r w:rsidRPr="00727A13">
              <w:rPr>
                <w:sz w:val="18"/>
                <w:szCs w:val="18"/>
              </w:rPr>
              <w:t>11 533</w:t>
            </w:r>
          </w:p>
        </w:tc>
        <w:tc>
          <w:tcPr>
            <w:tcW w:w="727" w:type="pct"/>
            <w:tcBorders>
              <w:top w:val="single" w:sz="6" w:space="0" w:color="auto"/>
              <w:left w:val="single" w:sz="6" w:space="0" w:color="auto"/>
              <w:bottom w:val="double" w:sz="4" w:space="0" w:color="auto"/>
              <w:right w:val="single" w:sz="6" w:space="0" w:color="auto"/>
            </w:tcBorders>
            <w:vAlign w:val="center"/>
          </w:tcPr>
          <w:p w:rsidR="00C55EDF" w:rsidRPr="00727A13" w:rsidRDefault="00C55EDF" w:rsidP="00727A13">
            <w:pPr>
              <w:jc w:val="center"/>
              <w:rPr>
                <w:sz w:val="18"/>
                <w:szCs w:val="18"/>
              </w:rPr>
            </w:pPr>
            <w:r w:rsidRPr="00727A13">
              <w:rPr>
                <w:sz w:val="18"/>
                <w:szCs w:val="18"/>
              </w:rPr>
              <w:t>-49</w:t>
            </w:r>
          </w:p>
        </w:tc>
        <w:tc>
          <w:tcPr>
            <w:tcW w:w="727" w:type="pct"/>
            <w:tcBorders>
              <w:top w:val="single" w:sz="6" w:space="0" w:color="auto"/>
              <w:left w:val="single" w:sz="6" w:space="0" w:color="auto"/>
              <w:bottom w:val="double" w:sz="4" w:space="0" w:color="auto"/>
              <w:right w:val="double" w:sz="4" w:space="0" w:color="auto"/>
            </w:tcBorders>
            <w:vAlign w:val="center"/>
          </w:tcPr>
          <w:p w:rsidR="00C55EDF" w:rsidRPr="00727A13" w:rsidRDefault="00C55EDF" w:rsidP="00727A13">
            <w:pPr>
              <w:jc w:val="center"/>
              <w:rPr>
                <w:sz w:val="18"/>
                <w:szCs w:val="18"/>
              </w:rPr>
            </w:pPr>
            <w:r w:rsidRPr="00727A13">
              <w:rPr>
                <w:sz w:val="18"/>
                <w:szCs w:val="18"/>
              </w:rPr>
              <w:t>-0,42%</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C55EDF" w:rsidRPr="00727A13" w:rsidRDefault="00C55EDF" w:rsidP="009E0C26">
            <w:pPr>
              <w:pStyle w:val="Bezmezer"/>
              <w:keepNext/>
              <w:jc w:val="center"/>
              <w:rPr>
                <w:sz w:val="18"/>
                <w:szCs w:val="18"/>
              </w:rPr>
            </w:pPr>
          </w:p>
        </w:tc>
      </w:tr>
    </w:tbl>
    <w:p w:rsidR="009E0C26" w:rsidRDefault="009E0C26" w:rsidP="00D4363C">
      <w:pPr>
        <w:pStyle w:val="Tabulka"/>
      </w:pPr>
      <w:bookmarkStart w:id="48" w:name="_Toc469908897"/>
      <w:r>
        <w:t xml:space="preserve">Tab. </w:t>
      </w:r>
      <w:r w:rsidR="005D1BD9">
        <w:fldChar w:fldCharType="begin"/>
      </w:r>
      <w:r w:rsidR="005D1BD9">
        <w:instrText xml:space="preserve"> SEQ Tab. \* ARABIC </w:instrText>
      </w:r>
      <w:r w:rsidR="005D1BD9">
        <w:fldChar w:fldCharType="separate"/>
      </w:r>
      <w:r w:rsidR="003A35BB">
        <w:rPr>
          <w:noProof/>
        </w:rPr>
        <w:t>23</w:t>
      </w:r>
      <w:r w:rsidR="005D1BD9">
        <w:rPr>
          <w:noProof/>
        </w:rPr>
        <w:fldChar w:fldCharType="end"/>
      </w:r>
      <w:r w:rsidR="001B63EE">
        <w:rPr>
          <w:noProof/>
        </w:rPr>
        <w:t xml:space="preserve"> Vývoj počtu obyvatel SO ORP Konice mezi lety 1991 – 2015</w:t>
      </w:r>
      <w:bookmarkEnd w:id="48"/>
    </w:p>
    <w:p w:rsidR="007362A9" w:rsidRPr="00897EEA" w:rsidRDefault="007362A9" w:rsidP="007362A9">
      <w:r w:rsidRPr="00897EEA">
        <w:t xml:space="preserve">Počet zemřelých v SO ORP </w:t>
      </w:r>
      <w:r w:rsidR="00DE2883" w:rsidRPr="00897EEA">
        <w:t>Konice</w:t>
      </w:r>
      <w:r w:rsidRPr="00897EEA">
        <w:t xml:space="preserve"> </w:t>
      </w:r>
      <w:r w:rsidR="00F14B08">
        <w:t>byl</w:t>
      </w:r>
      <w:r w:rsidR="00897EEA" w:rsidRPr="00897EEA">
        <w:t xml:space="preserve"> dlouhodobě vyšší než počet živě narozených</w:t>
      </w:r>
      <w:r w:rsidRPr="00897EEA">
        <w:t xml:space="preserve">. </w:t>
      </w:r>
      <w:r w:rsidR="00897EEA" w:rsidRPr="00897EEA">
        <w:t xml:space="preserve">Jak počet </w:t>
      </w:r>
      <w:r w:rsidR="00522278" w:rsidRPr="00897EEA">
        <w:t>zemřelých, tak</w:t>
      </w:r>
      <w:r w:rsidR="00897EEA" w:rsidRPr="00897EEA">
        <w:t xml:space="preserve"> počet živě narozených měl</w:t>
      </w:r>
      <w:r w:rsidR="00F14B08">
        <w:t>y</w:t>
      </w:r>
      <w:r w:rsidR="00897EEA" w:rsidRPr="00897EEA">
        <w:t xml:space="preserve"> mezi lety 1991 – 2015 klesající tendenci.</w:t>
      </w:r>
    </w:p>
    <w:p w:rsidR="007362A9" w:rsidRDefault="007362A9" w:rsidP="007362A9">
      <w:r w:rsidRPr="00076C27">
        <w:t>Z hlediska přírůstku obyvatel stěhováním docház</w:t>
      </w:r>
      <w:r w:rsidR="00076C27">
        <w:t>elo</w:t>
      </w:r>
      <w:r w:rsidRPr="00076C27">
        <w:t xml:space="preserve"> v rámci SO ORP</w:t>
      </w:r>
      <w:r w:rsidR="00897EEA" w:rsidRPr="00076C27">
        <w:t xml:space="preserve"> Konice</w:t>
      </w:r>
      <w:r w:rsidRPr="00076C27">
        <w:t xml:space="preserve"> </w:t>
      </w:r>
      <w:r w:rsidR="00897EEA" w:rsidRPr="00076C27">
        <w:t xml:space="preserve">spíše k úbytku obyvatel. </w:t>
      </w:r>
      <w:r w:rsidR="00317A5D" w:rsidRPr="00076C27">
        <w:t>Přírůstek</w:t>
      </w:r>
      <w:r w:rsidR="00897EEA" w:rsidRPr="00076C27">
        <w:t xml:space="preserve"> počtu obyvatel stěhováním nast</w:t>
      </w:r>
      <w:r w:rsidR="00317A5D" w:rsidRPr="00076C27">
        <w:t>ával meziročně v druhé polovině 9</w:t>
      </w:r>
      <w:r w:rsidR="006A026E">
        <w:t>0</w:t>
      </w:r>
      <w:r w:rsidR="00796857">
        <w:t>.</w:t>
      </w:r>
      <w:r w:rsidR="00317A5D" w:rsidRPr="00076C27">
        <w:t xml:space="preserve"> let mezi lety 1994 – 2000 a v letech 2004, 2005 a 2011.</w:t>
      </w:r>
      <w:r w:rsidR="00317A5D">
        <w:t xml:space="preserve"> </w:t>
      </w:r>
    </w:p>
    <w:p w:rsidR="00BB1E9B" w:rsidRDefault="002C4295" w:rsidP="00BB1E9B">
      <w:pPr>
        <w:keepNext/>
      </w:pPr>
      <w:r>
        <w:rPr>
          <w:noProof/>
          <w:lang w:eastAsia="cs-CZ"/>
        </w:rPr>
        <w:lastRenderedPageBreak/>
        <w:drawing>
          <wp:inline distT="0" distB="0" distL="0" distR="0" wp14:anchorId="2F327F63" wp14:editId="3F4DBCDA">
            <wp:extent cx="5760720" cy="3683897"/>
            <wp:effectExtent l="0" t="0" r="11430" b="1206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4295" w:rsidRDefault="00BB1E9B" w:rsidP="00D4363C">
      <w:pPr>
        <w:pStyle w:val="Tabulka"/>
      </w:pPr>
      <w:bookmarkStart w:id="49" w:name="_Toc469908871"/>
      <w:r>
        <w:t xml:space="preserve">Graf </w:t>
      </w:r>
      <w:r w:rsidR="005D1BD9">
        <w:fldChar w:fldCharType="begin"/>
      </w:r>
      <w:r w:rsidR="005D1BD9">
        <w:instrText xml:space="preserve"> SEQ Graf \* ARABIC </w:instrText>
      </w:r>
      <w:r w:rsidR="005D1BD9">
        <w:fldChar w:fldCharType="separate"/>
      </w:r>
      <w:r w:rsidR="003A35BB">
        <w:rPr>
          <w:noProof/>
        </w:rPr>
        <w:t>12</w:t>
      </w:r>
      <w:r w:rsidR="005D1BD9">
        <w:rPr>
          <w:noProof/>
        </w:rPr>
        <w:fldChar w:fldCharType="end"/>
      </w:r>
      <w:r w:rsidR="00363E66">
        <w:rPr>
          <w:noProof/>
        </w:rPr>
        <w:t xml:space="preserve"> Vývoj a předpokládaný vývoj počtu obyvatel SO ORP Konice v letech 1991 – 2050</w:t>
      </w:r>
      <w:bookmarkEnd w:id="49"/>
    </w:p>
    <w:p w:rsidR="002A14E0" w:rsidRDefault="002A14E0" w:rsidP="002A14E0">
      <w:r w:rsidRPr="001F2985">
        <w:t xml:space="preserve">Výhled počtu obyvatel </w:t>
      </w:r>
      <w:r w:rsidR="00796857">
        <w:t xml:space="preserve">SO ORP Konice </w:t>
      </w:r>
      <w:r w:rsidRPr="001F2985">
        <w:t>předpokládá</w:t>
      </w:r>
      <w:r w:rsidR="00796857">
        <w:t xml:space="preserve"> </w:t>
      </w:r>
      <w:r w:rsidRPr="001F2985">
        <w:t>v pokračujíc</w:t>
      </w:r>
      <w:r w:rsidR="00796857">
        <w:t xml:space="preserve">ím trendu úbytku počtu </w:t>
      </w:r>
      <w:r w:rsidR="00D11048">
        <w:t>obyvatel, jak</w:t>
      </w:r>
      <w:r w:rsidR="00796857">
        <w:t xml:space="preserve"> zobrazuje </w:t>
      </w:r>
      <w:r w:rsidR="00796857" w:rsidRPr="00796857">
        <w:rPr>
          <w:i/>
        </w:rPr>
        <w:t>Graf 12 Vývoj a předpokládaný vývoj počtu obyvatel SO ORP Konice v letech 1991 – 2050</w:t>
      </w:r>
      <w:r w:rsidR="00796857">
        <w:t xml:space="preserve"> a </w:t>
      </w:r>
      <w:r w:rsidR="00796857" w:rsidRPr="00796857">
        <w:rPr>
          <w:i/>
        </w:rPr>
        <w:t>Tab. 24 Předpokládaný vývoj počtu obyvatel SO ORP Konice do roku 2050</w:t>
      </w:r>
      <w:r w:rsidR="00796857">
        <w:t xml:space="preserve">. </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ED2586">
        <w:trPr>
          <w:cantSplit/>
        </w:trPr>
        <w:tc>
          <w:tcPr>
            <w:tcW w:w="1000" w:type="pct"/>
            <w:tcBorders>
              <w:top w:val="double" w:sz="4" w:space="0" w:color="auto"/>
              <w:left w:val="double" w:sz="4" w:space="0" w:color="auto"/>
            </w:tcBorders>
            <w:shd w:val="clear" w:color="auto" w:fill="BCD9DE" w:themeFill="accent5" w:themeFillTint="66"/>
            <w:vAlign w:val="center"/>
          </w:tcPr>
          <w:p w:rsidR="00001D62" w:rsidRPr="001F2985" w:rsidRDefault="00001D62" w:rsidP="001F2985">
            <w:pPr>
              <w:jc w:val="center"/>
              <w:rPr>
                <w:sz w:val="18"/>
                <w:szCs w:val="18"/>
              </w:rPr>
            </w:pPr>
            <w:r w:rsidRPr="001F2985">
              <w:rPr>
                <w:b/>
                <w:sz w:val="18"/>
                <w:szCs w:val="18"/>
              </w:rPr>
              <w:t>ROK</w:t>
            </w:r>
          </w:p>
        </w:tc>
        <w:tc>
          <w:tcPr>
            <w:tcW w:w="1000" w:type="pct"/>
            <w:tcBorders>
              <w:top w:val="double" w:sz="4" w:space="0" w:color="auto"/>
            </w:tcBorders>
            <w:shd w:val="clear" w:color="auto" w:fill="BCD9DE" w:themeFill="accent5" w:themeFillTint="66"/>
            <w:vAlign w:val="center"/>
          </w:tcPr>
          <w:p w:rsidR="00001D62" w:rsidRPr="001F2985" w:rsidRDefault="00001D62" w:rsidP="001F2985">
            <w:pPr>
              <w:jc w:val="center"/>
              <w:rPr>
                <w:b/>
                <w:sz w:val="18"/>
                <w:szCs w:val="18"/>
              </w:rPr>
            </w:pPr>
            <w:r w:rsidRPr="001F2985">
              <w:rPr>
                <w:b/>
                <w:sz w:val="18"/>
                <w:szCs w:val="18"/>
              </w:rPr>
              <w:t>2020</w:t>
            </w:r>
          </w:p>
        </w:tc>
        <w:tc>
          <w:tcPr>
            <w:tcW w:w="1000" w:type="pct"/>
            <w:tcBorders>
              <w:top w:val="double" w:sz="4" w:space="0" w:color="auto"/>
            </w:tcBorders>
            <w:shd w:val="clear" w:color="auto" w:fill="BCD9DE" w:themeFill="accent5" w:themeFillTint="66"/>
            <w:vAlign w:val="center"/>
          </w:tcPr>
          <w:p w:rsidR="00001D62" w:rsidRPr="001F2985" w:rsidRDefault="00001D62" w:rsidP="001F2985">
            <w:pPr>
              <w:jc w:val="center"/>
              <w:rPr>
                <w:b/>
                <w:sz w:val="18"/>
                <w:szCs w:val="18"/>
              </w:rPr>
            </w:pPr>
            <w:r w:rsidRPr="001F2985">
              <w:rPr>
                <w:b/>
                <w:sz w:val="18"/>
                <w:szCs w:val="18"/>
              </w:rPr>
              <w:t>2025</w:t>
            </w:r>
          </w:p>
        </w:tc>
        <w:tc>
          <w:tcPr>
            <w:tcW w:w="1000" w:type="pct"/>
            <w:tcBorders>
              <w:top w:val="double" w:sz="4" w:space="0" w:color="auto"/>
            </w:tcBorders>
            <w:shd w:val="clear" w:color="auto" w:fill="BCD9DE" w:themeFill="accent5" w:themeFillTint="66"/>
            <w:vAlign w:val="center"/>
          </w:tcPr>
          <w:p w:rsidR="00001D62" w:rsidRPr="001F2985" w:rsidRDefault="00001D62" w:rsidP="001F2985">
            <w:pPr>
              <w:jc w:val="center"/>
              <w:rPr>
                <w:b/>
                <w:sz w:val="18"/>
                <w:szCs w:val="18"/>
              </w:rPr>
            </w:pPr>
            <w:r w:rsidRPr="001F2985">
              <w:rPr>
                <w:b/>
                <w:sz w:val="18"/>
                <w:szCs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1F2985" w:rsidRDefault="00001D62" w:rsidP="001F2985">
            <w:pPr>
              <w:jc w:val="center"/>
              <w:rPr>
                <w:b/>
                <w:sz w:val="18"/>
                <w:szCs w:val="18"/>
              </w:rPr>
            </w:pPr>
            <w:r w:rsidRPr="001F2985">
              <w:rPr>
                <w:b/>
                <w:sz w:val="18"/>
                <w:szCs w:val="18"/>
              </w:rPr>
              <w:t>2050</w:t>
            </w:r>
          </w:p>
        </w:tc>
      </w:tr>
      <w:tr w:rsidR="002E5F48" w:rsidTr="00ED2586">
        <w:trPr>
          <w:cantSplit/>
        </w:trPr>
        <w:tc>
          <w:tcPr>
            <w:tcW w:w="1000" w:type="pct"/>
            <w:tcBorders>
              <w:left w:val="double" w:sz="4" w:space="0" w:color="auto"/>
              <w:bottom w:val="double" w:sz="4" w:space="0" w:color="auto"/>
            </w:tcBorders>
            <w:shd w:val="clear" w:color="auto" w:fill="BCD9DE" w:themeFill="accent5" w:themeFillTint="66"/>
            <w:vAlign w:val="center"/>
          </w:tcPr>
          <w:p w:rsidR="002E5F48" w:rsidRPr="001F2985" w:rsidRDefault="002E5F48" w:rsidP="001F2985">
            <w:pPr>
              <w:pStyle w:val="Bezmezer"/>
              <w:jc w:val="center"/>
              <w:rPr>
                <w:b/>
                <w:sz w:val="18"/>
                <w:szCs w:val="18"/>
              </w:rPr>
            </w:pPr>
            <w:r w:rsidRPr="001F2985">
              <w:rPr>
                <w:b/>
                <w:sz w:val="18"/>
                <w:szCs w:val="18"/>
              </w:rPr>
              <w:t>POČET OBYVATEL</w:t>
            </w:r>
          </w:p>
        </w:tc>
        <w:tc>
          <w:tcPr>
            <w:tcW w:w="1000" w:type="pct"/>
            <w:tcBorders>
              <w:bottom w:val="double" w:sz="4" w:space="0" w:color="auto"/>
            </w:tcBorders>
            <w:vAlign w:val="center"/>
          </w:tcPr>
          <w:p w:rsidR="002E5F48" w:rsidRPr="001F2985" w:rsidRDefault="002E5F48" w:rsidP="001F2985">
            <w:pPr>
              <w:jc w:val="center"/>
              <w:rPr>
                <w:sz w:val="18"/>
                <w:szCs w:val="18"/>
              </w:rPr>
            </w:pPr>
            <w:r w:rsidRPr="001F2985">
              <w:rPr>
                <w:sz w:val="18"/>
                <w:szCs w:val="18"/>
              </w:rPr>
              <w:t>10</w:t>
            </w:r>
            <w:r w:rsidR="003D6FAC">
              <w:rPr>
                <w:sz w:val="18"/>
                <w:szCs w:val="18"/>
              </w:rPr>
              <w:t xml:space="preserve"> </w:t>
            </w:r>
            <w:r w:rsidRPr="001F2985">
              <w:rPr>
                <w:sz w:val="18"/>
                <w:szCs w:val="18"/>
              </w:rPr>
              <w:t>406</w:t>
            </w:r>
          </w:p>
        </w:tc>
        <w:tc>
          <w:tcPr>
            <w:tcW w:w="1000" w:type="pct"/>
            <w:tcBorders>
              <w:bottom w:val="double" w:sz="4" w:space="0" w:color="auto"/>
            </w:tcBorders>
            <w:vAlign w:val="center"/>
          </w:tcPr>
          <w:p w:rsidR="002E5F48" w:rsidRPr="001F2985" w:rsidRDefault="002E5F48" w:rsidP="001F2985">
            <w:pPr>
              <w:jc w:val="center"/>
              <w:rPr>
                <w:sz w:val="18"/>
                <w:szCs w:val="18"/>
              </w:rPr>
            </w:pPr>
            <w:r w:rsidRPr="001F2985">
              <w:rPr>
                <w:sz w:val="18"/>
                <w:szCs w:val="18"/>
              </w:rPr>
              <w:t>10</w:t>
            </w:r>
            <w:r w:rsidR="003D6FAC">
              <w:rPr>
                <w:sz w:val="18"/>
                <w:szCs w:val="18"/>
              </w:rPr>
              <w:t xml:space="preserve"> </w:t>
            </w:r>
            <w:r w:rsidRPr="001F2985">
              <w:rPr>
                <w:sz w:val="18"/>
                <w:szCs w:val="18"/>
              </w:rPr>
              <w:t>307</w:t>
            </w:r>
          </w:p>
        </w:tc>
        <w:tc>
          <w:tcPr>
            <w:tcW w:w="1000" w:type="pct"/>
            <w:tcBorders>
              <w:bottom w:val="double" w:sz="4" w:space="0" w:color="auto"/>
            </w:tcBorders>
            <w:vAlign w:val="center"/>
          </w:tcPr>
          <w:p w:rsidR="002E5F48" w:rsidRPr="001F2985" w:rsidRDefault="002E5F48" w:rsidP="001F2985">
            <w:pPr>
              <w:jc w:val="center"/>
              <w:rPr>
                <w:sz w:val="18"/>
                <w:szCs w:val="18"/>
              </w:rPr>
            </w:pPr>
            <w:r w:rsidRPr="001F2985">
              <w:rPr>
                <w:sz w:val="18"/>
                <w:szCs w:val="18"/>
              </w:rPr>
              <w:t>10</w:t>
            </w:r>
            <w:r w:rsidR="003D6FAC">
              <w:rPr>
                <w:sz w:val="18"/>
                <w:szCs w:val="18"/>
              </w:rPr>
              <w:t xml:space="preserve"> </w:t>
            </w:r>
            <w:r w:rsidRPr="001F2985">
              <w:rPr>
                <w:sz w:val="18"/>
                <w:szCs w:val="18"/>
              </w:rPr>
              <w:t>199</w:t>
            </w:r>
          </w:p>
        </w:tc>
        <w:tc>
          <w:tcPr>
            <w:tcW w:w="1000" w:type="pct"/>
            <w:tcBorders>
              <w:bottom w:val="double" w:sz="4" w:space="0" w:color="auto"/>
              <w:right w:val="double" w:sz="4" w:space="0" w:color="auto"/>
            </w:tcBorders>
            <w:vAlign w:val="center"/>
          </w:tcPr>
          <w:p w:rsidR="002E5F48" w:rsidRPr="001F2985" w:rsidRDefault="002E5F48" w:rsidP="006B6BB3">
            <w:pPr>
              <w:keepNext/>
              <w:jc w:val="center"/>
              <w:rPr>
                <w:sz w:val="18"/>
                <w:szCs w:val="18"/>
              </w:rPr>
            </w:pPr>
            <w:r w:rsidRPr="001F2985">
              <w:rPr>
                <w:sz w:val="18"/>
                <w:szCs w:val="18"/>
              </w:rPr>
              <w:t>9</w:t>
            </w:r>
            <w:r w:rsidR="003D6FAC">
              <w:rPr>
                <w:sz w:val="18"/>
                <w:szCs w:val="18"/>
              </w:rPr>
              <w:t xml:space="preserve"> </w:t>
            </w:r>
            <w:r w:rsidRPr="001F2985">
              <w:rPr>
                <w:sz w:val="18"/>
                <w:szCs w:val="18"/>
              </w:rPr>
              <w:t>814</w:t>
            </w:r>
          </w:p>
        </w:tc>
      </w:tr>
    </w:tbl>
    <w:p w:rsidR="006B6BB3" w:rsidRDefault="006B6BB3" w:rsidP="00D4363C">
      <w:pPr>
        <w:pStyle w:val="Tabulka"/>
        <w:rPr>
          <w:noProof/>
        </w:rPr>
      </w:pPr>
      <w:bookmarkStart w:id="50" w:name="_Toc469908898"/>
      <w:r>
        <w:t xml:space="preserve">Tab. </w:t>
      </w:r>
      <w:r w:rsidR="005D1BD9">
        <w:fldChar w:fldCharType="begin"/>
      </w:r>
      <w:r w:rsidR="005D1BD9">
        <w:instrText xml:space="preserve"> SEQ Tab. \* ARABIC </w:instrText>
      </w:r>
      <w:r w:rsidR="005D1BD9">
        <w:fldChar w:fldCharType="separate"/>
      </w:r>
      <w:r w:rsidR="003A35BB">
        <w:rPr>
          <w:noProof/>
        </w:rPr>
        <w:t>24</w:t>
      </w:r>
      <w:r w:rsidR="005D1BD9">
        <w:rPr>
          <w:noProof/>
        </w:rPr>
        <w:fldChar w:fldCharType="end"/>
      </w:r>
      <w:r w:rsidR="00A61103">
        <w:rPr>
          <w:noProof/>
        </w:rPr>
        <w:t xml:space="preserve"> Předpokládaný vývoj počtu obyvatel SO ORP Konice do roku 2050</w:t>
      </w:r>
      <w:bookmarkEnd w:id="50"/>
    </w:p>
    <w:p w:rsidR="00F7590B" w:rsidRDefault="00F7590B" w:rsidP="00F7590B"/>
    <w:p w:rsidR="00F7590B" w:rsidRDefault="00F7590B">
      <w:pPr>
        <w:spacing w:before="0" w:after="0"/>
        <w:jc w:val="left"/>
      </w:pPr>
      <w:r>
        <w:br w:type="page"/>
      </w:r>
    </w:p>
    <w:p w:rsidR="00893EB7" w:rsidRDefault="00893EB7" w:rsidP="003B22AF">
      <w:pPr>
        <w:pStyle w:val="Nadpis2"/>
      </w:pPr>
      <w:bookmarkStart w:id="51" w:name="_Toc469989356"/>
      <w:r w:rsidRPr="00F52857">
        <w:lastRenderedPageBreak/>
        <w:t>SO ORP Přerov</w:t>
      </w:r>
      <w:bookmarkEnd w:id="51"/>
    </w:p>
    <w:p w:rsidR="00473F05" w:rsidRDefault="00473F05" w:rsidP="00473F05">
      <w:r w:rsidRPr="007E3A45">
        <w:t xml:space="preserve">SO ORP </w:t>
      </w:r>
      <w:r w:rsidR="00C91A56">
        <w:t>Přerov</w:t>
      </w:r>
      <w:r w:rsidRPr="007E3A45">
        <w:t xml:space="preserve"> se nachází </w:t>
      </w:r>
      <w:r w:rsidR="00C662F1">
        <w:t>v jižní</w:t>
      </w:r>
      <w:r w:rsidRPr="007E3A45">
        <w:t xml:space="preserve"> části Olomouckého kraje.</w:t>
      </w:r>
      <w:r>
        <w:t xml:space="preserve"> Na </w:t>
      </w:r>
      <w:r w:rsidR="00144BE0">
        <w:t xml:space="preserve">severu sousedí s SO ORP Olomouc, </w:t>
      </w:r>
      <w:r w:rsidR="00C662F1">
        <w:t>severovýchodě s SO ORP Lipník nad Bečvou,</w:t>
      </w:r>
      <w:r w:rsidR="00144BE0">
        <w:t xml:space="preserve"> na jihu se Zlínským krajem a</w:t>
      </w:r>
      <w:r w:rsidR="00C662F1">
        <w:t xml:space="preserve"> na západě s SO ORP Prostějov</w:t>
      </w:r>
      <w:r>
        <w:t xml:space="preserve">. SO ORP </w:t>
      </w:r>
      <w:r w:rsidR="00144BE0">
        <w:t>Přerov</w:t>
      </w:r>
      <w:r>
        <w:t xml:space="preserve"> zahrnuje </w:t>
      </w:r>
      <w:r w:rsidR="00144BE0">
        <w:t>59</w:t>
      </w:r>
      <w:r w:rsidRPr="00F1188E">
        <w:t xml:space="preserve"> obcí </w:t>
      </w:r>
      <w:r w:rsidR="00144BE0">
        <w:t>–</w:t>
      </w:r>
      <w:r>
        <w:t xml:space="preserve"> </w:t>
      </w:r>
      <w:r w:rsidR="00144BE0" w:rsidRPr="00144BE0">
        <w:t>Beňov, Bezuchov, Bochoř, Brodek u Přerova, Buk, Císařov, Citov, Čechy, Čelechovice, Dobrčice, Domaželice, Dřevohostice, Grymov, Horní Moštěnice, Hradčany, Kojetín, Kokory, Křenovice, Křtomil, Lazníčky, Lazníky, L</w:t>
      </w:r>
      <w:r w:rsidR="00144BE0">
        <w:t>hotka, Lipová, Líšná, Lobodice</w:t>
      </w:r>
      <w:r w:rsidR="00144BE0" w:rsidRPr="00144BE0">
        <w:t>, Měrovice nad Hanou, Nahošovice, Nelešovice, Oldřichov, Oplocany, Oprostovice, Pavlovice u Přerova, Podolí, Polkovice, Prosenice, Přerov, Přestavlky, Radkova Lhota, Radkovy, Ra</w:t>
      </w:r>
      <w:r w:rsidR="00144BE0">
        <w:t>dslavice, Radvanice, Rokytnice</w:t>
      </w:r>
      <w:r w:rsidR="00144BE0" w:rsidRPr="00144BE0">
        <w:t xml:space="preserve">, Říkovice, Sobíšky, Stará Ves, Stříbrnice, Sušice, Šišma, Tovačov, Troubky, Tučín, Turovice, Uhřičice, Věžky, Vlkoš, Výkleky, </w:t>
      </w:r>
      <w:proofErr w:type="spellStart"/>
      <w:r w:rsidR="00144BE0" w:rsidRPr="00144BE0">
        <w:t>Zábeštní</w:t>
      </w:r>
      <w:proofErr w:type="spellEnd"/>
      <w:r w:rsidR="00144BE0" w:rsidRPr="00144BE0">
        <w:t xml:space="preserve"> Lhota, Žákovice</w:t>
      </w:r>
      <w:r w:rsidR="00144BE0">
        <w:t xml:space="preserve"> a </w:t>
      </w:r>
      <w:r w:rsidR="00144BE0" w:rsidRPr="00144BE0">
        <w:t>Želatovice</w:t>
      </w:r>
      <w:r w:rsidR="00144BE0">
        <w:t>.</w:t>
      </w:r>
      <w:r w:rsidR="00144BE0" w:rsidRPr="00144BE0">
        <w:t xml:space="preserve"> Obcí s největším počtem obyvatel k 31. 12. 2015 bylo město </w:t>
      </w:r>
      <w:r w:rsidR="00144BE0">
        <w:t>Přerov</w:t>
      </w:r>
      <w:r w:rsidR="00144BE0" w:rsidRPr="00144BE0">
        <w:t xml:space="preserve"> s</w:t>
      </w:r>
      <w:r w:rsidR="00144BE0">
        <w:t> 43 994</w:t>
      </w:r>
      <w:r w:rsidR="00144BE0" w:rsidRPr="00144BE0">
        <w:t xml:space="preserve"> obyvateli, nejmenší pak byla obec </w:t>
      </w:r>
      <w:r w:rsidR="00144BE0">
        <w:t>Lhotka</w:t>
      </w:r>
      <w:r w:rsidR="00144BE0" w:rsidRPr="00144BE0">
        <w:t xml:space="preserve">, která měla k 31. 12. 2015 </w:t>
      </w:r>
      <w:r w:rsidR="00144BE0">
        <w:t>64</w:t>
      </w:r>
      <w:r w:rsidR="00144BE0" w:rsidRPr="00144BE0">
        <w:t xml:space="preserve"> evidovaných obyvatel.</w:t>
      </w:r>
    </w:p>
    <w:p w:rsidR="00473F05" w:rsidRDefault="00473F05" w:rsidP="00473F05">
      <w:r>
        <w:t xml:space="preserve">K 31. 12. 2015 bylo v SO ORP </w:t>
      </w:r>
      <w:r w:rsidR="00F15DB8">
        <w:t>Přerov</w:t>
      </w:r>
      <w:r>
        <w:t xml:space="preserve"> evidováno </w:t>
      </w:r>
      <w:r w:rsidR="00F15DB8">
        <w:t>81 500</w:t>
      </w:r>
      <w:r>
        <w:t xml:space="preserve"> obyvatel, což tvořilo </w:t>
      </w:r>
      <w:r w:rsidR="00F15DB8">
        <w:t>12</w:t>
      </w:r>
      <w:r>
        <w:t>,</w:t>
      </w:r>
      <w:r w:rsidR="00F15DB8">
        <w:t>8</w:t>
      </w:r>
      <w:r>
        <w:t xml:space="preserve"> % z celkového počtu obyvatel Olomouckého kraje.</w:t>
      </w:r>
      <w:r w:rsidR="00E73099">
        <w:t xml:space="preserve"> Vývoj počtu obyvatel v SO ORP Přerov měl od roku 1991 klesající tendenci s </w:t>
      </w:r>
      <w:r w:rsidR="00A377AF">
        <w:t>výjimkou</w:t>
      </w:r>
      <w:r w:rsidR="00E73099">
        <w:t xml:space="preserve"> krátkého období v prvním desetiletí nového tisíciletí</w:t>
      </w:r>
      <w:r>
        <w:t>.</w:t>
      </w:r>
      <w:r w:rsidR="00E73099">
        <w:t xml:space="preserve"> Průměrný meziroční pokles činil mezi lety 1991 – 2015 0,39%. Největší meziroční pokles nastal v letech 1991 a 2001, kdy činil 0,66 % a 0,64 %. </w:t>
      </w:r>
      <w:r w:rsidR="00A377AF">
        <w:t>K částečnému nárůstu počtu obyvatel došlo mezi lety 2005 – 2007, kdy se meziroční počet obyvatel zvyšoval mezi 0,14 – 0,49 %.</w:t>
      </w:r>
      <w:r w:rsidR="00E73099">
        <w:t xml:space="preserve"> </w:t>
      </w:r>
      <w:r>
        <w:t xml:space="preserve"> </w:t>
      </w:r>
      <w:r w:rsidR="002C3EE5">
        <w:t xml:space="preserve">Jak uvádí </w:t>
      </w:r>
      <w:r w:rsidR="003B547B" w:rsidRPr="003B547B">
        <w:rPr>
          <w:i/>
        </w:rPr>
        <w:t>Tab. 25 Vývoj počtu obyvatel SO ORP Přerov mezi lety 1991 – 2015</w:t>
      </w:r>
      <w:r w:rsidR="003B547B">
        <w:t xml:space="preserve"> p</w:t>
      </w:r>
      <w:r>
        <w:t xml:space="preserve">očet obyvatel mezi lety 1991 – 2015 klesl z původních </w:t>
      </w:r>
      <w:r w:rsidR="00D11048">
        <w:t>87 874</w:t>
      </w:r>
      <w:r>
        <w:t xml:space="preserve"> o </w:t>
      </w:r>
      <w:r w:rsidR="00D11048">
        <w:t>6 374</w:t>
      </w:r>
      <w:r>
        <w:t xml:space="preserve"> na </w:t>
      </w:r>
      <w:r w:rsidR="00A377AF">
        <w:t>81 500</w:t>
      </w:r>
      <w:r>
        <w:t xml:space="preserve"> obyvatel.</w:t>
      </w:r>
    </w:p>
    <w:p w:rsidR="00473F05" w:rsidRDefault="00473F05" w:rsidP="00473F05">
      <w:r w:rsidRPr="007074E5">
        <w:t>Klesající tendenci obyvatel v posledních letech (2010 – 2015)</w:t>
      </w:r>
      <w:r w:rsidR="0018722A">
        <w:t>,</w:t>
      </w:r>
      <w:r w:rsidRPr="007074E5">
        <w:t xml:space="preserve"> poměrově vzhledem k počtu obyvatel</w:t>
      </w:r>
      <w:r w:rsidR="0018722A">
        <w:t>,</w:t>
      </w:r>
      <w:r w:rsidRPr="007074E5">
        <w:t xml:space="preserve"> pocítila nejvíce obec </w:t>
      </w:r>
      <w:r w:rsidR="00D526B9" w:rsidRPr="007074E5">
        <w:t>Radkovy</w:t>
      </w:r>
      <w:r w:rsidR="0018722A">
        <w:t>,</w:t>
      </w:r>
      <w:r w:rsidRPr="007074E5">
        <w:t xml:space="preserve"> kde počet obyvatel klesl z původních </w:t>
      </w:r>
      <w:r w:rsidR="00D526B9" w:rsidRPr="007074E5">
        <w:t>170</w:t>
      </w:r>
      <w:r w:rsidRPr="007074E5">
        <w:t xml:space="preserve"> na </w:t>
      </w:r>
      <w:r w:rsidR="00D526B9" w:rsidRPr="007074E5">
        <w:t>150</w:t>
      </w:r>
      <w:r w:rsidRPr="007074E5">
        <w:t xml:space="preserve"> obyvatel, tj. </w:t>
      </w:r>
      <w:r w:rsidR="0018722A">
        <w:t xml:space="preserve">o </w:t>
      </w:r>
      <w:r w:rsidR="00D526B9" w:rsidRPr="007074E5">
        <w:t xml:space="preserve">11,8 </w:t>
      </w:r>
      <w:r w:rsidRPr="007074E5">
        <w:t xml:space="preserve">%. Naopak </w:t>
      </w:r>
      <w:r w:rsidR="0018722A">
        <w:t>opačný trend</w:t>
      </w:r>
      <w:r w:rsidRPr="007074E5">
        <w:t xml:space="preserve"> vývoj</w:t>
      </w:r>
      <w:r w:rsidR="0018722A">
        <w:t>e</w:t>
      </w:r>
      <w:r w:rsidRPr="007074E5">
        <w:t xml:space="preserve"> počtu obyvatelstva v SO ORP </w:t>
      </w:r>
      <w:r w:rsidR="007074E5" w:rsidRPr="007074E5">
        <w:t>Přerov</w:t>
      </w:r>
      <w:r w:rsidRPr="007074E5">
        <w:t xml:space="preserve"> </w:t>
      </w:r>
      <w:r w:rsidR="0018722A">
        <w:t>měla</w:t>
      </w:r>
      <w:r w:rsidRPr="007074E5">
        <w:t xml:space="preserve"> obec </w:t>
      </w:r>
      <w:r w:rsidR="007074E5" w:rsidRPr="007074E5">
        <w:t>Šišma,</w:t>
      </w:r>
      <w:r w:rsidRPr="007074E5">
        <w:t xml:space="preserve"> kde počet obyvatel mezi lety 2010 - 2015 </w:t>
      </w:r>
      <w:r w:rsidR="0018722A" w:rsidRPr="007074E5">
        <w:t>vzrostl ze 175</w:t>
      </w:r>
      <w:r w:rsidR="007074E5" w:rsidRPr="007074E5">
        <w:t xml:space="preserve"> </w:t>
      </w:r>
      <w:r w:rsidRPr="007074E5">
        <w:t xml:space="preserve">na </w:t>
      </w:r>
      <w:r w:rsidR="007074E5" w:rsidRPr="007074E5">
        <w:t>210</w:t>
      </w:r>
      <w:r w:rsidRPr="007074E5">
        <w:t xml:space="preserve"> obyvatel, což </w:t>
      </w:r>
      <w:r w:rsidR="0018722A">
        <w:t>činilo</w:t>
      </w:r>
      <w:r w:rsidRPr="007074E5">
        <w:t xml:space="preserve"> přírůstek</w:t>
      </w:r>
      <w:r w:rsidR="007074E5" w:rsidRPr="007074E5">
        <w:t xml:space="preserve"> 20,0 %</w:t>
      </w:r>
      <w:r w:rsidRPr="007074E5">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5709CA">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1991</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87 874</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-576</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66%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2004</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84 074</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-378</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45%</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1992</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87 708</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-166</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19%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2005</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84 188</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114</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86D47" w:rsidP="005709CA">
            <w:pPr>
              <w:jc w:val="center"/>
              <w:rPr>
                <w:sz w:val="18"/>
                <w:szCs w:val="18"/>
              </w:rPr>
            </w:pPr>
            <w:r w:rsidRPr="005709CA">
              <w:rPr>
                <w:sz w:val="18"/>
                <w:szCs w:val="18"/>
              </w:rPr>
              <w:t>0,</w:t>
            </w:r>
            <w:r w:rsidR="0056700C" w:rsidRPr="005709CA">
              <w:rPr>
                <w:sz w:val="18"/>
                <w:szCs w:val="18"/>
              </w:rPr>
              <w:t>14%</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1993</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87 573</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-135</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2006</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84 486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298</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86D47" w:rsidP="005709CA">
            <w:pPr>
              <w:jc w:val="center"/>
              <w:rPr>
                <w:sz w:val="18"/>
                <w:szCs w:val="18"/>
              </w:rPr>
            </w:pPr>
            <w:r w:rsidRPr="005709CA">
              <w:rPr>
                <w:sz w:val="18"/>
                <w:szCs w:val="18"/>
              </w:rPr>
              <w:t>0,</w:t>
            </w:r>
            <w:r w:rsidR="0056700C" w:rsidRPr="005709CA">
              <w:rPr>
                <w:sz w:val="18"/>
                <w:szCs w:val="18"/>
              </w:rPr>
              <w:t>35%</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1994</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87 544</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-29</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03%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2007</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84 906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420</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86D47" w:rsidP="005709CA">
            <w:pPr>
              <w:jc w:val="center"/>
              <w:rPr>
                <w:sz w:val="18"/>
                <w:szCs w:val="18"/>
              </w:rPr>
            </w:pPr>
            <w:r w:rsidRPr="005709CA">
              <w:rPr>
                <w:sz w:val="18"/>
                <w:szCs w:val="18"/>
              </w:rPr>
              <w:t>0,</w:t>
            </w:r>
            <w:r w:rsidR="0056700C" w:rsidRPr="005709CA">
              <w:rPr>
                <w:sz w:val="18"/>
                <w:szCs w:val="18"/>
              </w:rPr>
              <w:t>49%</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1995</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87 154</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-390</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2008</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84 442</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-464</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55%</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1996</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87 022</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-132</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15%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2009</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84 186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-256</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30%</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1997</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86 682</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-340</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39%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2010</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83 820</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-366</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44%</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1998</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86 300</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-382</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2011</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83 004</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-347</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42%</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1999</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85 936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-364</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2012</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82 661</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-343</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41%</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2000</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85 696</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-240</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28%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2013</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82 255</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-406</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49%</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2001</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85 079</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-548</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64%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2014</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81 933</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-322</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39%</w:t>
            </w:r>
          </w:p>
        </w:tc>
      </w:tr>
      <w:tr w:rsidR="0056700C" w:rsidRPr="00BE4E54" w:rsidTr="005709C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2002</w:t>
            </w:r>
          </w:p>
        </w:tc>
        <w:tc>
          <w:tcPr>
            <w:tcW w:w="682"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84 691</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-388</w:t>
            </w:r>
          </w:p>
        </w:tc>
        <w:tc>
          <w:tcPr>
            <w:tcW w:w="727"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46%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56700C" w:rsidRPr="005709CA" w:rsidRDefault="0056700C" w:rsidP="005709CA">
            <w:pPr>
              <w:pStyle w:val="Bezmezer"/>
              <w:jc w:val="center"/>
              <w:rPr>
                <w:b/>
                <w:sz w:val="18"/>
                <w:szCs w:val="18"/>
              </w:rPr>
            </w:pPr>
            <w:r w:rsidRPr="005709CA">
              <w:rPr>
                <w:b/>
                <w:sz w:val="18"/>
                <w:szCs w:val="18"/>
              </w:rPr>
              <w:t>2015</w:t>
            </w:r>
          </w:p>
        </w:tc>
        <w:tc>
          <w:tcPr>
            <w:tcW w:w="681"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81 500</w:t>
            </w:r>
          </w:p>
        </w:tc>
        <w:tc>
          <w:tcPr>
            <w:tcW w:w="727" w:type="pct"/>
            <w:tcBorders>
              <w:top w:val="single" w:sz="6" w:space="0" w:color="auto"/>
              <w:left w:val="single" w:sz="6" w:space="0" w:color="auto"/>
              <w:bottom w:val="single" w:sz="6" w:space="0" w:color="auto"/>
              <w:right w:val="single" w:sz="6" w:space="0" w:color="auto"/>
            </w:tcBorders>
            <w:vAlign w:val="center"/>
          </w:tcPr>
          <w:p w:rsidR="0056700C" w:rsidRPr="005709CA" w:rsidRDefault="0056700C" w:rsidP="005709CA">
            <w:pPr>
              <w:jc w:val="center"/>
              <w:rPr>
                <w:sz w:val="18"/>
                <w:szCs w:val="18"/>
              </w:rPr>
            </w:pPr>
            <w:r w:rsidRPr="005709CA">
              <w:rPr>
                <w:sz w:val="18"/>
                <w:szCs w:val="18"/>
              </w:rPr>
              <w:t>-433</w:t>
            </w:r>
          </w:p>
        </w:tc>
        <w:tc>
          <w:tcPr>
            <w:tcW w:w="722" w:type="pct"/>
            <w:tcBorders>
              <w:top w:val="single" w:sz="6" w:space="0" w:color="auto"/>
              <w:left w:val="single" w:sz="6" w:space="0" w:color="auto"/>
              <w:bottom w:val="single" w:sz="6" w:space="0" w:color="auto"/>
              <w:right w:val="double" w:sz="4" w:space="0" w:color="auto"/>
            </w:tcBorders>
            <w:vAlign w:val="center"/>
          </w:tcPr>
          <w:p w:rsidR="0056700C" w:rsidRPr="005709CA" w:rsidRDefault="0056700C" w:rsidP="005709CA">
            <w:pPr>
              <w:jc w:val="center"/>
              <w:rPr>
                <w:sz w:val="18"/>
                <w:szCs w:val="18"/>
              </w:rPr>
            </w:pPr>
            <w:r w:rsidRPr="005709CA">
              <w:rPr>
                <w:sz w:val="18"/>
                <w:szCs w:val="18"/>
              </w:rPr>
              <w:t>-</w:t>
            </w:r>
            <w:r w:rsidR="00586D47" w:rsidRPr="005709CA">
              <w:rPr>
                <w:sz w:val="18"/>
                <w:szCs w:val="18"/>
              </w:rPr>
              <w:t>0,</w:t>
            </w:r>
            <w:r w:rsidRPr="005709CA">
              <w:rPr>
                <w:sz w:val="18"/>
                <w:szCs w:val="18"/>
              </w:rPr>
              <w:t>53%</w:t>
            </w:r>
          </w:p>
        </w:tc>
      </w:tr>
      <w:tr w:rsidR="005709CA" w:rsidRPr="00BE4E54" w:rsidTr="005709CA">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5709CA" w:rsidRPr="005709CA" w:rsidRDefault="005709CA" w:rsidP="005709CA">
            <w:pPr>
              <w:pStyle w:val="Bezmezer"/>
              <w:jc w:val="center"/>
              <w:rPr>
                <w:b/>
                <w:sz w:val="18"/>
                <w:szCs w:val="18"/>
              </w:rPr>
            </w:pPr>
            <w:r w:rsidRPr="005709CA">
              <w:rPr>
                <w:b/>
                <w:sz w:val="18"/>
                <w:szCs w:val="18"/>
              </w:rPr>
              <w:t>2003</w:t>
            </w:r>
          </w:p>
        </w:tc>
        <w:tc>
          <w:tcPr>
            <w:tcW w:w="682" w:type="pct"/>
            <w:tcBorders>
              <w:top w:val="single" w:sz="6" w:space="0" w:color="auto"/>
              <w:left w:val="single" w:sz="6" w:space="0" w:color="auto"/>
              <w:bottom w:val="double" w:sz="4" w:space="0" w:color="auto"/>
              <w:right w:val="single" w:sz="6" w:space="0" w:color="auto"/>
            </w:tcBorders>
            <w:vAlign w:val="center"/>
          </w:tcPr>
          <w:p w:rsidR="005709CA" w:rsidRPr="005709CA" w:rsidRDefault="005709CA" w:rsidP="005709CA">
            <w:pPr>
              <w:jc w:val="center"/>
              <w:rPr>
                <w:sz w:val="18"/>
                <w:szCs w:val="18"/>
              </w:rPr>
            </w:pPr>
            <w:r w:rsidRPr="005709CA">
              <w:rPr>
                <w:sz w:val="18"/>
                <w:szCs w:val="18"/>
              </w:rPr>
              <w:t>84 452</w:t>
            </w:r>
          </w:p>
        </w:tc>
        <w:tc>
          <w:tcPr>
            <w:tcW w:w="727" w:type="pct"/>
            <w:tcBorders>
              <w:top w:val="single" w:sz="6" w:space="0" w:color="auto"/>
              <w:left w:val="single" w:sz="6" w:space="0" w:color="auto"/>
              <w:bottom w:val="double" w:sz="4" w:space="0" w:color="auto"/>
              <w:right w:val="single" w:sz="6" w:space="0" w:color="auto"/>
            </w:tcBorders>
            <w:vAlign w:val="center"/>
          </w:tcPr>
          <w:p w:rsidR="005709CA" w:rsidRPr="005709CA" w:rsidRDefault="005709CA" w:rsidP="005709CA">
            <w:pPr>
              <w:jc w:val="center"/>
              <w:rPr>
                <w:sz w:val="18"/>
                <w:szCs w:val="18"/>
              </w:rPr>
            </w:pPr>
            <w:r w:rsidRPr="005709CA">
              <w:rPr>
                <w:sz w:val="18"/>
                <w:szCs w:val="18"/>
              </w:rPr>
              <w:t>-239</w:t>
            </w:r>
          </w:p>
        </w:tc>
        <w:tc>
          <w:tcPr>
            <w:tcW w:w="727" w:type="pct"/>
            <w:tcBorders>
              <w:top w:val="single" w:sz="6" w:space="0" w:color="auto"/>
              <w:left w:val="single" w:sz="6" w:space="0" w:color="auto"/>
              <w:bottom w:val="double" w:sz="4" w:space="0" w:color="auto"/>
              <w:right w:val="double" w:sz="4" w:space="0" w:color="auto"/>
            </w:tcBorders>
            <w:vAlign w:val="center"/>
          </w:tcPr>
          <w:p w:rsidR="005709CA" w:rsidRPr="005709CA" w:rsidRDefault="005709CA" w:rsidP="005709CA">
            <w:pPr>
              <w:jc w:val="center"/>
              <w:rPr>
                <w:sz w:val="18"/>
                <w:szCs w:val="18"/>
              </w:rPr>
            </w:pPr>
            <w:r w:rsidRPr="005709CA">
              <w:rPr>
                <w:sz w:val="18"/>
                <w:szCs w:val="18"/>
              </w:rPr>
              <w:t>-0,28%</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5709CA" w:rsidRPr="005709CA" w:rsidRDefault="005709CA" w:rsidP="006B6BB3">
            <w:pPr>
              <w:pStyle w:val="Bezmezer"/>
              <w:keepNext/>
              <w:jc w:val="center"/>
              <w:rPr>
                <w:sz w:val="18"/>
                <w:szCs w:val="18"/>
              </w:rPr>
            </w:pPr>
          </w:p>
        </w:tc>
      </w:tr>
    </w:tbl>
    <w:p w:rsidR="006B6BB3" w:rsidRDefault="006B6BB3" w:rsidP="00D4363C">
      <w:pPr>
        <w:pStyle w:val="Tabulka"/>
      </w:pPr>
      <w:bookmarkStart w:id="52" w:name="_Toc469908899"/>
      <w:r>
        <w:t xml:space="preserve">Tab. </w:t>
      </w:r>
      <w:r w:rsidR="005D1BD9">
        <w:fldChar w:fldCharType="begin"/>
      </w:r>
      <w:r w:rsidR="005D1BD9">
        <w:instrText xml:space="preserve"> SEQ Tab. \* ARABIC </w:instrText>
      </w:r>
      <w:r w:rsidR="005D1BD9">
        <w:fldChar w:fldCharType="separate"/>
      </w:r>
      <w:r w:rsidR="003A35BB">
        <w:rPr>
          <w:noProof/>
        </w:rPr>
        <w:t>25</w:t>
      </w:r>
      <w:r w:rsidR="005D1BD9">
        <w:rPr>
          <w:noProof/>
        </w:rPr>
        <w:fldChar w:fldCharType="end"/>
      </w:r>
      <w:r w:rsidR="001B63EE">
        <w:rPr>
          <w:noProof/>
        </w:rPr>
        <w:t xml:space="preserve"> Vývoj počtu obyvatel SO ORP Přerov mezi lety 1991 – 2015</w:t>
      </w:r>
      <w:bookmarkEnd w:id="52"/>
    </w:p>
    <w:p w:rsidR="007362A9" w:rsidRPr="00DF5D32" w:rsidRDefault="007362A9" w:rsidP="007362A9">
      <w:r w:rsidRPr="00DF5D32">
        <w:t xml:space="preserve">Počet zemřelých v SO ORP </w:t>
      </w:r>
      <w:r w:rsidR="006A69BD" w:rsidRPr="00DF5D32">
        <w:t>Přerov</w:t>
      </w:r>
      <w:r w:rsidRPr="00DF5D32">
        <w:t xml:space="preserve"> poprvé překonal počet živě narozených v roce 199</w:t>
      </w:r>
      <w:r w:rsidR="00CF43DF" w:rsidRPr="00DF5D32">
        <w:t>4</w:t>
      </w:r>
      <w:r w:rsidRPr="00DF5D32">
        <w:t xml:space="preserve"> (</w:t>
      </w:r>
      <w:r w:rsidR="00CF43DF" w:rsidRPr="00DF5D32">
        <w:t>897</w:t>
      </w:r>
      <w:r w:rsidRPr="00DF5D32">
        <w:t xml:space="preserve"> živě narozených, </w:t>
      </w:r>
      <w:r w:rsidR="00CF43DF" w:rsidRPr="00DF5D32">
        <w:t>928</w:t>
      </w:r>
      <w:r w:rsidRPr="00DF5D32">
        <w:t xml:space="preserve"> zemřelých) od té doby</w:t>
      </w:r>
      <w:r w:rsidR="00CF43DF" w:rsidRPr="00DF5D32">
        <w:t xml:space="preserve"> </w:t>
      </w:r>
      <w:r w:rsidRPr="00DF5D32">
        <w:t xml:space="preserve">tento trend </w:t>
      </w:r>
      <w:r w:rsidR="0048215F">
        <w:t>pokračoval</w:t>
      </w:r>
      <w:r w:rsidRPr="00DF5D32">
        <w:t xml:space="preserve">. Zatím co roční počet úmrtí má převážně stagnující tendenci, počet živě narozených </w:t>
      </w:r>
      <w:r w:rsidR="00DF5D32" w:rsidRPr="00DF5D32">
        <w:t xml:space="preserve">stagnuje, až </w:t>
      </w:r>
      <w:r w:rsidRPr="00DF5D32">
        <w:t>mírně klesá.</w:t>
      </w:r>
    </w:p>
    <w:p w:rsidR="007362A9" w:rsidRDefault="007362A9" w:rsidP="007362A9">
      <w:r w:rsidRPr="0055333C">
        <w:lastRenderedPageBreak/>
        <w:t xml:space="preserve">Z hlediska přírůstku obyvatel stěhováním </w:t>
      </w:r>
      <w:r w:rsidR="0048215F">
        <w:t>docházelo</w:t>
      </w:r>
      <w:r w:rsidRPr="0055333C">
        <w:t xml:space="preserve"> v rámci SO ORP </w:t>
      </w:r>
      <w:r w:rsidR="004F2954" w:rsidRPr="0055333C">
        <w:t xml:space="preserve">Přerov </w:t>
      </w:r>
      <w:r w:rsidRPr="0055333C">
        <w:t>k dlouhodobému úbytku který se pohyboval meziročně do 0,</w:t>
      </w:r>
      <w:r w:rsidR="00F92999" w:rsidRPr="0055333C">
        <w:t>68</w:t>
      </w:r>
      <w:r w:rsidRPr="0055333C">
        <w:t xml:space="preserve"> %, kromě </w:t>
      </w:r>
      <w:r w:rsidR="0055333C" w:rsidRPr="0055333C">
        <w:t>let 1996 a 2005 - 2007</w:t>
      </w:r>
      <w:r w:rsidRPr="0055333C">
        <w:t>,</w:t>
      </w:r>
      <w:r w:rsidR="0055333C" w:rsidRPr="0055333C">
        <w:t xml:space="preserve"> kdy došlo k meziročnímu růstu 0,07 – 0,58 %. </w:t>
      </w:r>
    </w:p>
    <w:p w:rsidR="00BB1E9B" w:rsidRDefault="00DF2E6F" w:rsidP="00BB1E9B">
      <w:pPr>
        <w:keepNext/>
      </w:pPr>
      <w:r>
        <w:rPr>
          <w:noProof/>
          <w:lang w:eastAsia="cs-CZ"/>
        </w:rPr>
        <w:drawing>
          <wp:inline distT="0" distB="0" distL="0" distR="0" wp14:anchorId="2452C067" wp14:editId="15ABF4A8">
            <wp:extent cx="5760720" cy="3683897"/>
            <wp:effectExtent l="0" t="0" r="11430" b="1206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2E6F" w:rsidRDefault="00BB1E9B" w:rsidP="00D4363C">
      <w:pPr>
        <w:pStyle w:val="Tabulka"/>
      </w:pPr>
      <w:bookmarkStart w:id="53" w:name="_Toc469908872"/>
      <w:r>
        <w:t xml:space="preserve">Graf </w:t>
      </w:r>
      <w:r w:rsidR="005D1BD9">
        <w:fldChar w:fldCharType="begin"/>
      </w:r>
      <w:r w:rsidR="005D1BD9">
        <w:instrText xml:space="preserve"> SEQ Graf \* ARABIC </w:instrText>
      </w:r>
      <w:r w:rsidR="005D1BD9">
        <w:fldChar w:fldCharType="separate"/>
      </w:r>
      <w:r w:rsidR="003A35BB">
        <w:rPr>
          <w:noProof/>
        </w:rPr>
        <w:t>13</w:t>
      </w:r>
      <w:r w:rsidR="005D1BD9">
        <w:rPr>
          <w:noProof/>
        </w:rPr>
        <w:fldChar w:fldCharType="end"/>
      </w:r>
      <w:r w:rsidR="00363E66">
        <w:rPr>
          <w:noProof/>
        </w:rPr>
        <w:t xml:space="preserve"> Vývoj a předpokládaný vývoj počtu obyvatel SO ORP Přerov v letech 1991 – 2050</w:t>
      </w:r>
      <w:bookmarkEnd w:id="53"/>
    </w:p>
    <w:p w:rsidR="002A14E0" w:rsidRDefault="002A14E0" w:rsidP="002A14E0">
      <w:r w:rsidRPr="0055333C">
        <w:t xml:space="preserve">Výhled počtu obyvatel </w:t>
      </w:r>
      <w:r w:rsidR="000E4E7A">
        <w:t xml:space="preserve">SO ORP Přerov </w:t>
      </w:r>
      <w:r w:rsidR="00D11048" w:rsidRPr="0055333C">
        <w:t>předpokládá</w:t>
      </w:r>
      <w:r w:rsidRPr="0055333C">
        <w:t> pokračujíc</w:t>
      </w:r>
      <w:r w:rsidR="00D11048">
        <w:t>í trend</w:t>
      </w:r>
      <w:r w:rsidR="000E4E7A">
        <w:t xml:space="preserve"> úbytku počtu </w:t>
      </w:r>
      <w:proofErr w:type="gramStart"/>
      <w:r w:rsidR="000E4E7A">
        <w:t>obyvatel jak</w:t>
      </w:r>
      <w:proofErr w:type="gramEnd"/>
      <w:r w:rsidR="000E4E7A">
        <w:t xml:space="preserve"> zobrazuje </w:t>
      </w:r>
      <w:r w:rsidR="000E4E7A" w:rsidRPr="00B042A5">
        <w:rPr>
          <w:i/>
        </w:rPr>
        <w:t>Graf 13 Vývoj a předpokládaný vývoj počtu obyvatel SO ORP Přerov v letech 1991 – 2050</w:t>
      </w:r>
      <w:r w:rsidR="000E4E7A">
        <w:t xml:space="preserve"> a </w:t>
      </w:r>
      <w:r w:rsidR="000E4E7A" w:rsidRPr="00B042A5">
        <w:rPr>
          <w:i/>
        </w:rPr>
        <w:t>Tab. 26 Předpokládaný vývoj počtu obyvatel SO ORP Přerov do roku 2050</w:t>
      </w:r>
      <w:r w:rsidR="000E4E7A">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2E5F48" w:rsidTr="0055333C">
        <w:tc>
          <w:tcPr>
            <w:tcW w:w="1000" w:type="pct"/>
            <w:tcBorders>
              <w:left w:val="double" w:sz="4" w:space="0" w:color="auto"/>
              <w:bottom w:val="double" w:sz="4" w:space="0" w:color="auto"/>
            </w:tcBorders>
            <w:shd w:val="clear" w:color="auto" w:fill="BCD9DE" w:themeFill="accent5" w:themeFillTint="66"/>
            <w:vAlign w:val="center"/>
          </w:tcPr>
          <w:p w:rsidR="002E5F48" w:rsidRPr="004E092F" w:rsidRDefault="002E5F48" w:rsidP="008E7C52">
            <w:pPr>
              <w:pStyle w:val="Bezmezer"/>
              <w:jc w:val="center"/>
              <w:rPr>
                <w:b/>
                <w:sz w:val="18"/>
              </w:rPr>
            </w:pPr>
            <w:r w:rsidRPr="004E092F">
              <w:rPr>
                <w:b/>
                <w:sz w:val="18"/>
              </w:rPr>
              <w:t>POČET OBYVATEL</w:t>
            </w:r>
          </w:p>
        </w:tc>
        <w:tc>
          <w:tcPr>
            <w:tcW w:w="1000" w:type="pct"/>
            <w:tcBorders>
              <w:bottom w:val="double" w:sz="4" w:space="0" w:color="auto"/>
            </w:tcBorders>
            <w:vAlign w:val="center"/>
          </w:tcPr>
          <w:p w:rsidR="002E5F48" w:rsidRPr="0055333C" w:rsidRDefault="002E5F48" w:rsidP="0055333C">
            <w:pPr>
              <w:jc w:val="center"/>
              <w:rPr>
                <w:sz w:val="18"/>
                <w:szCs w:val="18"/>
              </w:rPr>
            </w:pPr>
            <w:r w:rsidRPr="0055333C">
              <w:rPr>
                <w:sz w:val="18"/>
                <w:szCs w:val="18"/>
              </w:rPr>
              <w:t>80</w:t>
            </w:r>
            <w:r w:rsidR="0055333C">
              <w:rPr>
                <w:sz w:val="18"/>
                <w:szCs w:val="18"/>
              </w:rPr>
              <w:t xml:space="preserve"> </w:t>
            </w:r>
            <w:r w:rsidRPr="0055333C">
              <w:rPr>
                <w:sz w:val="18"/>
                <w:szCs w:val="18"/>
              </w:rPr>
              <w:t>161</w:t>
            </w:r>
          </w:p>
        </w:tc>
        <w:tc>
          <w:tcPr>
            <w:tcW w:w="1000" w:type="pct"/>
            <w:tcBorders>
              <w:bottom w:val="double" w:sz="4" w:space="0" w:color="auto"/>
            </w:tcBorders>
            <w:vAlign w:val="center"/>
          </w:tcPr>
          <w:p w:rsidR="002E5F48" w:rsidRPr="0055333C" w:rsidRDefault="002E5F48" w:rsidP="0055333C">
            <w:pPr>
              <w:jc w:val="center"/>
              <w:rPr>
                <w:sz w:val="18"/>
                <w:szCs w:val="18"/>
              </w:rPr>
            </w:pPr>
            <w:r w:rsidRPr="0055333C">
              <w:rPr>
                <w:sz w:val="18"/>
                <w:szCs w:val="18"/>
              </w:rPr>
              <w:t>78</w:t>
            </w:r>
            <w:r w:rsidR="0055333C">
              <w:rPr>
                <w:sz w:val="18"/>
                <w:szCs w:val="18"/>
              </w:rPr>
              <w:t xml:space="preserve"> </w:t>
            </w:r>
            <w:r w:rsidRPr="0055333C">
              <w:rPr>
                <w:sz w:val="18"/>
                <w:szCs w:val="18"/>
              </w:rPr>
              <w:t>936</w:t>
            </w:r>
          </w:p>
        </w:tc>
        <w:tc>
          <w:tcPr>
            <w:tcW w:w="1000" w:type="pct"/>
            <w:tcBorders>
              <w:bottom w:val="double" w:sz="4" w:space="0" w:color="auto"/>
            </w:tcBorders>
            <w:vAlign w:val="center"/>
          </w:tcPr>
          <w:p w:rsidR="002E5F48" w:rsidRPr="0055333C" w:rsidRDefault="002E5F48" w:rsidP="0055333C">
            <w:pPr>
              <w:jc w:val="center"/>
              <w:rPr>
                <w:sz w:val="18"/>
                <w:szCs w:val="18"/>
              </w:rPr>
            </w:pPr>
            <w:r w:rsidRPr="0055333C">
              <w:rPr>
                <w:sz w:val="18"/>
                <w:szCs w:val="18"/>
              </w:rPr>
              <w:t>77</w:t>
            </w:r>
            <w:r w:rsidR="0055333C">
              <w:rPr>
                <w:sz w:val="18"/>
                <w:szCs w:val="18"/>
              </w:rPr>
              <w:t xml:space="preserve"> </w:t>
            </w:r>
            <w:r w:rsidRPr="0055333C">
              <w:rPr>
                <w:sz w:val="18"/>
                <w:szCs w:val="18"/>
              </w:rPr>
              <w:t>730</w:t>
            </w:r>
          </w:p>
        </w:tc>
        <w:tc>
          <w:tcPr>
            <w:tcW w:w="1000" w:type="pct"/>
            <w:tcBorders>
              <w:bottom w:val="double" w:sz="4" w:space="0" w:color="auto"/>
              <w:right w:val="double" w:sz="4" w:space="0" w:color="auto"/>
            </w:tcBorders>
            <w:vAlign w:val="center"/>
          </w:tcPr>
          <w:p w:rsidR="002E5F48" w:rsidRPr="0055333C" w:rsidRDefault="002E5F48" w:rsidP="006B6BB3">
            <w:pPr>
              <w:keepNext/>
              <w:jc w:val="center"/>
              <w:rPr>
                <w:sz w:val="18"/>
                <w:szCs w:val="18"/>
              </w:rPr>
            </w:pPr>
            <w:r w:rsidRPr="0055333C">
              <w:rPr>
                <w:sz w:val="18"/>
                <w:szCs w:val="18"/>
              </w:rPr>
              <w:t>72</w:t>
            </w:r>
            <w:r w:rsidR="0055333C">
              <w:rPr>
                <w:sz w:val="18"/>
                <w:szCs w:val="18"/>
              </w:rPr>
              <w:t xml:space="preserve"> </w:t>
            </w:r>
            <w:r w:rsidRPr="0055333C">
              <w:rPr>
                <w:sz w:val="18"/>
                <w:szCs w:val="18"/>
              </w:rPr>
              <w:t>982</w:t>
            </w:r>
          </w:p>
        </w:tc>
      </w:tr>
    </w:tbl>
    <w:p w:rsidR="006B6BB3" w:rsidRDefault="006B6BB3" w:rsidP="00D4363C">
      <w:pPr>
        <w:pStyle w:val="Tabulka"/>
        <w:rPr>
          <w:noProof/>
        </w:rPr>
      </w:pPr>
      <w:bookmarkStart w:id="54" w:name="_Toc469908900"/>
      <w:r>
        <w:t xml:space="preserve">Tab. </w:t>
      </w:r>
      <w:r w:rsidR="005D1BD9">
        <w:fldChar w:fldCharType="begin"/>
      </w:r>
      <w:r w:rsidR="005D1BD9">
        <w:instrText xml:space="preserve"> SEQ Tab. \* ARABIC </w:instrText>
      </w:r>
      <w:r w:rsidR="005D1BD9">
        <w:fldChar w:fldCharType="separate"/>
      </w:r>
      <w:r w:rsidR="003A35BB">
        <w:rPr>
          <w:noProof/>
        </w:rPr>
        <w:t>26</w:t>
      </w:r>
      <w:r w:rsidR="005D1BD9">
        <w:rPr>
          <w:noProof/>
        </w:rPr>
        <w:fldChar w:fldCharType="end"/>
      </w:r>
      <w:r w:rsidR="00A61103">
        <w:rPr>
          <w:noProof/>
        </w:rPr>
        <w:t xml:space="preserve"> Předpokládaný vývoj počtu obyvatel SO ORP Přerov do roku 2050</w:t>
      </w:r>
      <w:bookmarkEnd w:id="54"/>
    </w:p>
    <w:p w:rsidR="00F7590B" w:rsidRDefault="00F7590B" w:rsidP="00F7590B"/>
    <w:p w:rsidR="00F7590B" w:rsidRDefault="00F7590B">
      <w:pPr>
        <w:spacing w:before="0" w:after="0"/>
        <w:jc w:val="left"/>
      </w:pPr>
      <w:r>
        <w:br w:type="page"/>
      </w:r>
    </w:p>
    <w:p w:rsidR="00893EB7" w:rsidRDefault="00893EB7" w:rsidP="0055333C">
      <w:pPr>
        <w:pStyle w:val="Nadpis2"/>
      </w:pPr>
      <w:bookmarkStart w:id="55" w:name="_Toc469989357"/>
      <w:r w:rsidRPr="00F52857">
        <w:lastRenderedPageBreak/>
        <w:t>SO ORP Lipník nad Bečvou</w:t>
      </w:r>
      <w:bookmarkEnd w:id="55"/>
    </w:p>
    <w:p w:rsidR="00473F05" w:rsidRDefault="00473F05" w:rsidP="00473F05">
      <w:r w:rsidRPr="007E3A45">
        <w:t xml:space="preserve">SO ORP </w:t>
      </w:r>
      <w:r w:rsidR="00B00405">
        <w:t xml:space="preserve">Lipník na </w:t>
      </w:r>
      <w:r w:rsidR="00573C1F">
        <w:t>Bečvu</w:t>
      </w:r>
      <w:r w:rsidRPr="007E3A45">
        <w:t xml:space="preserve"> se nachází v</w:t>
      </w:r>
      <w:r w:rsidR="00B00405">
        <w:t> jihovýchodní části</w:t>
      </w:r>
      <w:r w:rsidRPr="007E3A45">
        <w:t xml:space="preserve"> Olomouckého kraje.</w:t>
      </w:r>
      <w:r>
        <w:t xml:space="preserve"> Na </w:t>
      </w:r>
      <w:r w:rsidR="000D4588">
        <w:t xml:space="preserve">západě sousedí s SO ORP Hranice, na jihozápadě s SO </w:t>
      </w:r>
      <w:r w:rsidR="00FB3543">
        <w:t>ORP Př</w:t>
      </w:r>
      <w:r w:rsidR="000D4588">
        <w:t>erov a na severu s SO ORP Olomouc</w:t>
      </w:r>
      <w:r>
        <w:t xml:space="preserve">. SO ORP </w:t>
      </w:r>
      <w:r w:rsidR="000D4588">
        <w:t>Lipník nad Bečvou</w:t>
      </w:r>
      <w:r>
        <w:t xml:space="preserve"> zahrnuje </w:t>
      </w:r>
      <w:r w:rsidR="000D4588">
        <w:t>1</w:t>
      </w:r>
      <w:r w:rsidRPr="00F1188E">
        <w:t>4 obcí -</w:t>
      </w:r>
      <w:r>
        <w:t xml:space="preserve"> </w:t>
      </w:r>
      <w:r w:rsidR="000D4588" w:rsidRPr="000D4588">
        <w:t>Bohuslávky, Dolní Nětčice, Dolní Újezd, Hlinsko, Horní Nětčice, Jezernice, Kladníky, Lhota, Lipník nad Bečvou, Osek nad Bečvou, Radotín, Soběchleby, Týn nad Bečvou</w:t>
      </w:r>
      <w:r w:rsidR="000D4588">
        <w:t xml:space="preserve"> a </w:t>
      </w:r>
      <w:r w:rsidR="000D4588" w:rsidRPr="000D4588">
        <w:t>Veselíčko</w:t>
      </w:r>
      <w:r w:rsidR="000D4588">
        <w:t>.</w:t>
      </w:r>
      <w:r>
        <w:t xml:space="preserve"> </w:t>
      </w:r>
      <w:r w:rsidR="000D4588" w:rsidRPr="00144BE0">
        <w:t xml:space="preserve">Obcí s největším počtem obyvatel k 31. 12. 2015 bylo město </w:t>
      </w:r>
      <w:r w:rsidR="003A3CEF">
        <w:t>Lipník nad Bečvou</w:t>
      </w:r>
      <w:r w:rsidR="000D4588" w:rsidRPr="00144BE0">
        <w:t xml:space="preserve"> s</w:t>
      </w:r>
      <w:r w:rsidR="003A3CEF">
        <w:t> 8 179</w:t>
      </w:r>
      <w:r w:rsidR="000D4588" w:rsidRPr="00144BE0">
        <w:t xml:space="preserve"> obyvateli, nejmenší pak byla obec </w:t>
      </w:r>
      <w:r w:rsidR="000D4588">
        <w:t>Lhotka</w:t>
      </w:r>
      <w:r w:rsidR="000D4588" w:rsidRPr="00144BE0">
        <w:t xml:space="preserve">, která měla k 31. 12. 2015 </w:t>
      </w:r>
      <w:r w:rsidR="000D4588">
        <w:t>64</w:t>
      </w:r>
      <w:r w:rsidR="000D4588" w:rsidRPr="00144BE0">
        <w:t xml:space="preserve"> evidovaných obyvatel.</w:t>
      </w:r>
    </w:p>
    <w:p w:rsidR="00473F05" w:rsidRDefault="00473F05" w:rsidP="00473F05">
      <w:r>
        <w:t xml:space="preserve">K 31. 12. 2015 bylo v SO ORP </w:t>
      </w:r>
      <w:r w:rsidR="00BE4584">
        <w:t>Lipník nad Bečvou</w:t>
      </w:r>
      <w:r>
        <w:t xml:space="preserve"> evidováno </w:t>
      </w:r>
      <w:r w:rsidR="00C45280" w:rsidRPr="00C45280">
        <w:t>15</w:t>
      </w:r>
      <w:r w:rsidR="00C45280">
        <w:t> </w:t>
      </w:r>
      <w:r w:rsidR="00C45280" w:rsidRPr="00C45280">
        <w:t>286</w:t>
      </w:r>
      <w:r w:rsidR="00C45280">
        <w:t xml:space="preserve"> </w:t>
      </w:r>
      <w:r>
        <w:t xml:space="preserve">obyvatel, což tvořilo </w:t>
      </w:r>
      <w:r w:rsidR="00C45280">
        <w:t>2</w:t>
      </w:r>
      <w:r>
        <w:t>,</w:t>
      </w:r>
      <w:r w:rsidR="00C45280">
        <w:t>4</w:t>
      </w:r>
      <w:r>
        <w:t xml:space="preserve"> % z celkového po</w:t>
      </w:r>
      <w:r w:rsidR="00666663">
        <w:t xml:space="preserve">čtu obyvatel Olomouckého kraje. </w:t>
      </w:r>
      <w:r w:rsidR="00B520D7" w:rsidRPr="00B520D7">
        <w:t xml:space="preserve">Vývoj počtu obyvatel měl v SO ORP </w:t>
      </w:r>
      <w:r w:rsidR="00B520D7">
        <w:t>Lipník nad Bečvou</w:t>
      </w:r>
      <w:r w:rsidR="00B520D7" w:rsidRPr="00B520D7">
        <w:t xml:space="preserve"> mezi lety 1991 – 2015 poměrně vyrovnanou, střídavou tendenci</w:t>
      </w:r>
      <w:r>
        <w:t>.</w:t>
      </w:r>
      <w:r w:rsidR="00596C57">
        <w:t xml:space="preserve"> Mírný nárůst v první polovině devadesátých let vystřídal v druhé polovině pokles, který pokračoval do první poloviny prvního desetiletí nového tisíciletí. V polovině prvního desetiletí došlo opět k nárůstu počtu obyvatel. Od začátku druhého desetiletí nastává střídavá tendence s většími meziročními poklesy.</w:t>
      </w:r>
      <w:r>
        <w:t xml:space="preserve"> </w:t>
      </w:r>
      <w:r w:rsidR="00596C57">
        <w:t xml:space="preserve">Mezi lety 1991 – 1995 se pohyboval meziroční přírůstek mezi 0,10 – 0,95 %. Pokles nastal mezi lety 1996 – 2003 kdy se pohyboval od 0,04 % do 0,68 %. Nárůst mezi lety 2004 – 2008 dosahoval hodnot mezi 0,03 – 0,40%. Od roku 2009 se střídají meziroční poklesy (až 0,73 %) s nárůsty (až 0,14 %).  </w:t>
      </w:r>
      <w:r w:rsidR="008B004C">
        <w:t xml:space="preserve">Jak uvádí </w:t>
      </w:r>
      <w:r w:rsidR="008B004C" w:rsidRPr="008B004C">
        <w:rPr>
          <w:i/>
        </w:rPr>
        <w:t xml:space="preserve">Tab. 27 Vývoj počtu obyvatel SO ORP Lipník nad Bečvou mezi lety 1991 – 2015 </w:t>
      </w:r>
      <w:r w:rsidR="008B004C" w:rsidRPr="008B004C">
        <w:t>p</w:t>
      </w:r>
      <w:r w:rsidRPr="008B004C">
        <w:t>očet</w:t>
      </w:r>
      <w:r>
        <w:t xml:space="preserve"> obyvatel mezi lety 1991 – 2015 klesl z původních </w:t>
      </w:r>
      <w:r w:rsidR="00596C57">
        <w:t xml:space="preserve">15 501 </w:t>
      </w:r>
      <w:r>
        <w:t xml:space="preserve">o </w:t>
      </w:r>
      <w:r w:rsidR="00596C57">
        <w:t>215</w:t>
      </w:r>
      <w:r>
        <w:t xml:space="preserve"> na </w:t>
      </w:r>
      <w:r w:rsidR="00596C57">
        <w:t>15 286</w:t>
      </w:r>
      <w:r>
        <w:t xml:space="preserve"> obyvatel.</w:t>
      </w:r>
    </w:p>
    <w:p w:rsidR="00473F05" w:rsidRPr="00BD2B0D" w:rsidRDefault="00473F05" w:rsidP="00473F05">
      <w:r w:rsidRPr="00BD2B0D">
        <w:t>Klesající tendenci obyvatel v posledních letech (2010 – 2015)</w:t>
      </w:r>
      <w:r w:rsidR="00C648DE">
        <w:t>,</w:t>
      </w:r>
      <w:r w:rsidRPr="00BD2B0D">
        <w:t xml:space="preserve"> poměrově vzhledem k počtu obyvatel</w:t>
      </w:r>
      <w:r w:rsidR="00C648DE">
        <w:t>,</w:t>
      </w:r>
      <w:r w:rsidRPr="00BD2B0D">
        <w:t xml:space="preserve"> pocítila nejvíce obec </w:t>
      </w:r>
      <w:r w:rsidR="00FD7CAC" w:rsidRPr="00BD2B0D">
        <w:t xml:space="preserve">Osek nad </w:t>
      </w:r>
      <w:r w:rsidR="00141CA1" w:rsidRPr="00BD2B0D">
        <w:t>Bečvou, kde</w:t>
      </w:r>
      <w:r w:rsidRPr="00BD2B0D">
        <w:t xml:space="preserve"> počet obyvatel klesl z původních </w:t>
      </w:r>
      <w:r w:rsidR="00FD7CAC" w:rsidRPr="00BD2B0D">
        <w:t>1 281</w:t>
      </w:r>
      <w:r w:rsidRPr="00BD2B0D">
        <w:t xml:space="preserve"> na </w:t>
      </w:r>
      <w:r w:rsidR="00FD7CAC" w:rsidRPr="00BD2B0D">
        <w:t>1 219</w:t>
      </w:r>
      <w:r w:rsidRPr="00BD2B0D">
        <w:t xml:space="preserve"> obyvatel, tj.</w:t>
      </w:r>
      <w:r w:rsidR="00FD7CAC" w:rsidRPr="00BD2B0D">
        <w:t xml:space="preserve"> o</w:t>
      </w:r>
      <w:r w:rsidRPr="00BD2B0D">
        <w:t xml:space="preserve"> </w:t>
      </w:r>
      <w:r w:rsidR="00FD7CAC" w:rsidRPr="00BD2B0D">
        <w:t xml:space="preserve">4,84 </w:t>
      </w:r>
      <w:r w:rsidRPr="00BD2B0D">
        <w:t xml:space="preserve">%. </w:t>
      </w:r>
      <w:r w:rsidR="00C648DE">
        <w:t>Nejvyšší přírůstek počtu obyvatel</w:t>
      </w:r>
      <w:r w:rsidRPr="00BD2B0D">
        <w:t xml:space="preserve"> v SO ORP </w:t>
      </w:r>
      <w:r w:rsidR="00FD7CAC" w:rsidRPr="00BD2B0D">
        <w:t>Lipník nad Bečvou</w:t>
      </w:r>
      <w:r w:rsidRPr="00BD2B0D">
        <w:t xml:space="preserve"> </w:t>
      </w:r>
      <w:r w:rsidR="00C648DE">
        <w:t>měla</w:t>
      </w:r>
      <w:r w:rsidRPr="00BD2B0D">
        <w:t xml:space="preserve"> obec </w:t>
      </w:r>
      <w:r w:rsidR="00BD2B0D" w:rsidRPr="00BD2B0D">
        <w:t>Veselíčko,</w:t>
      </w:r>
      <w:r w:rsidRPr="00BD2B0D">
        <w:t xml:space="preserve"> kde počet obyvatel mezi lety 2010 </w:t>
      </w:r>
      <w:r w:rsidR="00BD4211">
        <w:t>–</w:t>
      </w:r>
      <w:r w:rsidRPr="00BD2B0D">
        <w:t xml:space="preserve"> 2015 vzrostl z </w:t>
      </w:r>
      <w:r w:rsidR="00BD2B0D" w:rsidRPr="00BD2B0D">
        <w:t>839</w:t>
      </w:r>
      <w:r w:rsidRPr="00BD2B0D">
        <w:t xml:space="preserve"> na </w:t>
      </w:r>
      <w:r w:rsidR="00BD2B0D" w:rsidRPr="00BD2B0D">
        <w:t>892</w:t>
      </w:r>
      <w:r w:rsidRPr="00BD2B0D">
        <w:t xml:space="preserve"> obyvatel, což </w:t>
      </w:r>
      <w:r w:rsidR="00BD4211">
        <w:t>činilo</w:t>
      </w:r>
      <w:r w:rsidRPr="00BD2B0D">
        <w:t xml:space="preserve"> přírůstek</w:t>
      </w:r>
      <w:r w:rsidR="00BD2B0D" w:rsidRPr="00BD2B0D">
        <w:t xml:space="preserve"> 6,3 %</w:t>
      </w:r>
      <w:r w:rsidRPr="00BD2B0D">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0F79C1" w:rsidRPr="00BE4E54" w:rsidTr="000E7A0A">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0F79C1" w:rsidRPr="004E092F" w:rsidRDefault="000F79C1" w:rsidP="004E092F">
            <w:pPr>
              <w:pStyle w:val="Bezmezer"/>
              <w:jc w:val="center"/>
              <w:rPr>
                <w:b/>
                <w:sz w:val="18"/>
              </w:rPr>
            </w:pPr>
            <w:r w:rsidRPr="004E092F">
              <w:rPr>
                <w:b/>
                <w:sz w:val="18"/>
              </w:rPr>
              <w:t>MEZIROČNÍ PŘÍRŮSTEK (%)</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1991</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15 501</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37</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24%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2004</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15 303</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38</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25%</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1992</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15 558</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57</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37%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2005</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15 333</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30</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20%</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1993</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15 573</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2006</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15 394</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61</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40%</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1994</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15 723</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150</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95%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2007</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15 399</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5</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03%</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1995</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15 784</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61</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39%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2008</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15 457</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58</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38%</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1996</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15 753</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-31</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20%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2009</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15 435</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-22</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14%</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1997</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15 675</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-78</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50%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2010</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15 413</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-22</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14%</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1998</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15 668</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-7</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04%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2011</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15 370</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-23</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15%</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1999</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15 648</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-20</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13%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2012</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15 379</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9</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06%</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2000</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15 543</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-105</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68%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2013</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15 267</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-112</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73%</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2001</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15 376</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-64</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42%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2014</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15 289</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22</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586D47" w:rsidP="000E7A0A">
            <w:pPr>
              <w:jc w:val="center"/>
              <w:rPr>
                <w:sz w:val="18"/>
                <w:szCs w:val="18"/>
              </w:rPr>
            </w:pPr>
            <w:r w:rsidRPr="000E7A0A">
              <w:rPr>
                <w:sz w:val="18"/>
                <w:szCs w:val="18"/>
              </w:rPr>
              <w:t>0,</w:t>
            </w:r>
            <w:r w:rsidR="007769AA" w:rsidRPr="000E7A0A">
              <w:rPr>
                <w:sz w:val="18"/>
                <w:szCs w:val="18"/>
              </w:rPr>
              <w:t>14%</w:t>
            </w:r>
          </w:p>
        </w:tc>
      </w:tr>
      <w:tr w:rsidR="007769AA" w:rsidRPr="00BE4E54" w:rsidTr="000E7A0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2002</w:t>
            </w:r>
          </w:p>
        </w:tc>
        <w:tc>
          <w:tcPr>
            <w:tcW w:w="682"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15 334</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-42</w:t>
            </w:r>
          </w:p>
        </w:tc>
        <w:tc>
          <w:tcPr>
            <w:tcW w:w="727"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27%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7769AA" w:rsidRPr="000E7A0A" w:rsidRDefault="007769AA" w:rsidP="000E7A0A">
            <w:pPr>
              <w:pStyle w:val="Bezmezer"/>
              <w:jc w:val="center"/>
              <w:rPr>
                <w:b/>
                <w:sz w:val="18"/>
                <w:szCs w:val="18"/>
              </w:rPr>
            </w:pPr>
            <w:r w:rsidRPr="000E7A0A">
              <w:rPr>
                <w:b/>
                <w:sz w:val="18"/>
                <w:szCs w:val="18"/>
              </w:rPr>
              <w:t>2015</w:t>
            </w:r>
          </w:p>
        </w:tc>
        <w:tc>
          <w:tcPr>
            <w:tcW w:w="681"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15 286</w:t>
            </w:r>
          </w:p>
        </w:tc>
        <w:tc>
          <w:tcPr>
            <w:tcW w:w="727" w:type="pct"/>
            <w:tcBorders>
              <w:top w:val="single" w:sz="6" w:space="0" w:color="auto"/>
              <w:left w:val="single" w:sz="6" w:space="0" w:color="auto"/>
              <w:bottom w:val="single" w:sz="6" w:space="0" w:color="auto"/>
              <w:right w:val="single" w:sz="6" w:space="0" w:color="auto"/>
            </w:tcBorders>
          </w:tcPr>
          <w:p w:rsidR="007769AA" w:rsidRPr="000E7A0A" w:rsidRDefault="007769AA" w:rsidP="000E7A0A">
            <w:pPr>
              <w:jc w:val="center"/>
              <w:rPr>
                <w:sz w:val="18"/>
                <w:szCs w:val="18"/>
              </w:rPr>
            </w:pPr>
            <w:r w:rsidRPr="000E7A0A">
              <w:rPr>
                <w:sz w:val="18"/>
                <w:szCs w:val="18"/>
              </w:rPr>
              <w:t>-3</w:t>
            </w:r>
          </w:p>
        </w:tc>
        <w:tc>
          <w:tcPr>
            <w:tcW w:w="722" w:type="pct"/>
            <w:tcBorders>
              <w:top w:val="single" w:sz="6" w:space="0" w:color="auto"/>
              <w:left w:val="single" w:sz="6" w:space="0" w:color="auto"/>
              <w:bottom w:val="single" w:sz="6" w:space="0" w:color="auto"/>
              <w:right w:val="double" w:sz="4" w:space="0" w:color="auto"/>
            </w:tcBorders>
          </w:tcPr>
          <w:p w:rsidR="007769AA" w:rsidRPr="000E7A0A" w:rsidRDefault="007769AA" w:rsidP="000E7A0A">
            <w:pPr>
              <w:jc w:val="center"/>
              <w:rPr>
                <w:sz w:val="18"/>
                <w:szCs w:val="18"/>
              </w:rPr>
            </w:pPr>
            <w:r w:rsidRPr="000E7A0A">
              <w:rPr>
                <w:sz w:val="18"/>
                <w:szCs w:val="18"/>
              </w:rPr>
              <w:t>-</w:t>
            </w:r>
            <w:r w:rsidR="00586D47" w:rsidRPr="000E7A0A">
              <w:rPr>
                <w:sz w:val="18"/>
                <w:szCs w:val="18"/>
              </w:rPr>
              <w:t>0,</w:t>
            </w:r>
            <w:r w:rsidRPr="000E7A0A">
              <w:rPr>
                <w:sz w:val="18"/>
                <w:szCs w:val="18"/>
              </w:rPr>
              <w:t>02%</w:t>
            </w:r>
          </w:p>
        </w:tc>
      </w:tr>
      <w:tr w:rsidR="000E7A0A" w:rsidRPr="00BE4E54" w:rsidTr="000E7A0A">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0E7A0A" w:rsidRPr="000E7A0A" w:rsidRDefault="000E7A0A" w:rsidP="000E7A0A">
            <w:pPr>
              <w:pStyle w:val="Bezmezer"/>
              <w:jc w:val="center"/>
              <w:rPr>
                <w:b/>
                <w:sz w:val="18"/>
                <w:szCs w:val="18"/>
              </w:rPr>
            </w:pPr>
            <w:r w:rsidRPr="000E7A0A">
              <w:rPr>
                <w:b/>
                <w:sz w:val="18"/>
                <w:szCs w:val="18"/>
              </w:rPr>
              <w:t>2003</w:t>
            </w:r>
          </w:p>
        </w:tc>
        <w:tc>
          <w:tcPr>
            <w:tcW w:w="682" w:type="pct"/>
            <w:tcBorders>
              <w:top w:val="single" w:sz="6" w:space="0" w:color="auto"/>
              <w:left w:val="single" w:sz="6" w:space="0" w:color="auto"/>
              <w:bottom w:val="double" w:sz="4" w:space="0" w:color="auto"/>
              <w:right w:val="single" w:sz="6" w:space="0" w:color="auto"/>
            </w:tcBorders>
          </w:tcPr>
          <w:p w:rsidR="000E7A0A" w:rsidRPr="000E7A0A" w:rsidRDefault="000E7A0A" w:rsidP="000E7A0A">
            <w:pPr>
              <w:jc w:val="center"/>
              <w:rPr>
                <w:sz w:val="18"/>
                <w:szCs w:val="18"/>
              </w:rPr>
            </w:pPr>
            <w:r w:rsidRPr="000E7A0A">
              <w:rPr>
                <w:sz w:val="18"/>
                <w:szCs w:val="18"/>
              </w:rPr>
              <w:t>15 265</w:t>
            </w:r>
          </w:p>
        </w:tc>
        <w:tc>
          <w:tcPr>
            <w:tcW w:w="727" w:type="pct"/>
            <w:tcBorders>
              <w:top w:val="single" w:sz="6" w:space="0" w:color="auto"/>
              <w:left w:val="single" w:sz="6" w:space="0" w:color="auto"/>
              <w:bottom w:val="double" w:sz="4" w:space="0" w:color="auto"/>
              <w:right w:val="single" w:sz="6" w:space="0" w:color="auto"/>
            </w:tcBorders>
          </w:tcPr>
          <w:p w:rsidR="000E7A0A" w:rsidRPr="000E7A0A" w:rsidRDefault="000E7A0A" w:rsidP="000E7A0A">
            <w:pPr>
              <w:jc w:val="center"/>
              <w:rPr>
                <w:sz w:val="18"/>
                <w:szCs w:val="18"/>
              </w:rPr>
            </w:pPr>
            <w:r w:rsidRPr="000E7A0A">
              <w:rPr>
                <w:sz w:val="18"/>
                <w:szCs w:val="18"/>
              </w:rPr>
              <w:t>-69</w:t>
            </w:r>
          </w:p>
        </w:tc>
        <w:tc>
          <w:tcPr>
            <w:tcW w:w="727" w:type="pct"/>
            <w:tcBorders>
              <w:top w:val="single" w:sz="6" w:space="0" w:color="auto"/>
              <w:left w:val="single" w:sz="6" w:space="0" w:color="auto"/>
              <w:bottom w:val="double" w:sz="4" w:space="0" w:color="auto"/>
              <w:right w:val="double" w:sz="4" w:space="0" w:color="auto"/>
            </w:tcBorders>
          </w:tcPr>
          <w:p w:rsidR="000E7A0A" w:rsidRPr="000E7A0A" w:rsidRDefault="000E7A0A" w:rsidP="000E7A0A">
            <w:pPr>
              <w:jc w:val="center"/>
              <w:rPr>
                <w:sz w:val="18"/>
                <w:szCs w:val="18"/>
              </w:rPr>
            </w:pPr>
            <w:r w:rsidRPr="000E7A0A">
              <w:rPr>
                <w:sz w:val="18"/>
                <w:szCs w:val="18"/>
              </w:rPr>
              <w:t>-0,45%</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0E7A0A" w:rsidRPr="000E7A0A" w:rsidRDefault="000E7A0A" w:rsidP="006B6BB3">
            <w:pPr>
              <w:pStyle w:val="Bezmezer"/>
              <w:keepNext/>
              <w:jc w:val="center"/>
              <w:rPr>
                <w:sz w:val="18"/>
                <w:szCs w:val="18"/>
              </w:rPr>
            </w:pPr>
          </w:p>
        </w:tc>
      </w:tr>
    </w:tbl>
    <w:p w:rsidR="006B6BB3" w:rsidRDefault="006B6BB3" w:rsidP="009638B8">
      <w:pPr>
        <w:pStyle w:val="Tabulka"/>
      </w:pPr>
      <w:bookmarkStart w:id="56" w:name="_Toc469908901"/>
      <w:r>
        <w:t xml:space="preserve">Tab. </w:t>
      </w:r>
      <w:r w:rsidR="005D1BD9">
        <w:fldChar w:fldCharType="begin"/>
      </w:r>
      <w:r w:rsidR="005D1BD9">
        <w:instrText xml:space="preserve"> SEQ Tab. \* ARABIC </w:instrText>
      </w:r>
      <w:r w:rsidR="005D1BD9">
        <w:fldChar w:fldCharType="separate"/>
      </w:r>
      <w:r w:rsidR="003A35BB">
        <w:rPr>
          <w:noProof/>
        </w:rPr>
        <w:t>27</w:t>
      </w:r>
      <w:r w:rsidR="005D1BD9">
        <w:rPr>
          <w:noProof/>
        </w:rPr>
        <w:fldChar w:fldCharType="end"/>
      </w:r>
      <w:r w:rsidR="001B63EE">
        <w:rPr>
          <w:noProof/>
        </w:rPr>
        <w:t xml:space="preserve"> Vývoj počtu obyvatel SO ORP Lipník nad Bečvou mezi lety 1991 – 2015</w:t>
      </w:r>
      <w:bookmarkEnd w:id="56"/>
    </w:p>
    <w:p w:rsidR="007362A9" w:rsidRPr="00D95618" w:rsidRDefault="007362A9" w:rsidP="007362A9">
      <w:r w:rsidRPr="00D95618">
        <w:t xml:space="preserve">Počet zemřelých v SO ORP </w:t>
      </w:r>
      <w:r w:rsidR="00D72A68" w:rsidRPr="00D95618">
        <w:t>Lipník nad Bečvou</w:t>
      </w:r>
      <w:r w:rsidRPr="00D95618">
        <w:t xml:space="preserve"> poprvé překonal počet živě narozených v roce 199</w:t>
      </w:r>
      <w:r w:rsidR="00F369F8" w:rsidRPr="00D95618">
        <w:t>5 (140 živě narozených, 171</w:t>
      </w:r>
      <w:r w:rsidRPr="00D95618">
        <w:t xml:space="preserve"> zemřelých)</w:t>
      </w:r>
      <w:r w:rsidR="00703BBF" w:rsidRPr="00D95618">
        <w:t>.</w:t>
      </w:r>
      <w:r w:rsidRPr="00D95618">
        <w:t xml:space="preserve"> </w:t>
      </w:r>
      <w:r w:rsidR="00703BBF" w:rsidRPr="00D95618">
        <w:t>Tento tren</w:t>
      </w:r>
      <w:r w:rsidR="0017318D" w:rsidRPr="00D95618">
        <w:t>d</w:t>
      </w:r>
      <w:r w:rsidR="00703BBF" w:rsidRPr="00D95618">
        <w:t xml:space="preserve"> postupoval do roku 2003. Mezi lety 2004 – 2010, s </w:t>
      </w:r>
      <w:r w:rsidR="006D5306" w:rsidRPr="00D95618">
        <w:t>výjimkou</w:t>
      </w:r>
      <w:r w:rsidR="00703BBF" w:rsidRPr="00D95618">
        <w:t xml:space="preserve"> roku 2009</w:t>
      </w:r>
      <w:r w:rsidR="0017318D" w:rsidRPr="00D95618">
        <w:t xml:space="preserve">, počet živě narozených </w:t>
      </w:r>
      <w:r w:rsidR="006D5306" w:rsidRPr="00D95618">
        <w:t>převyšoval</w:t>
      </w:r>
      <w:r w:rsidR="0017318D" w:rsidRPr="00D95618">
        <w:t xml:space="preserve"> počet zemřelých. Od roku 2011, s </w:t>
      </w:r>
      <w:r w:rsidR="006D5306" w:rsidRPr="00D95618">
        <w:t>výjimkou</w:t>
      </w:r>
      <w:r w:rsidR="0017318D" w:rsidRPr="00D95618">
        <w:t xml:space="preserve"> roku 2014, </w:t>
      </w:r>
      <w:r w:rsidR="00394044">
        <w:t>byl</w:t>
      </w:r>
      <w:r w:rsidR="0017318D" w:rsidRPr="00D95618">
        <w:t xml:space="preserve"> meziroční počet zemřelých opět vyšší než živě narozených.</w:t>
      </w:r>
      <w:r w:rsidR="00BB19AB" w:rsidRPr="00D95618">
        <w:t xml:space="preserve"> Počet živě narozených </w:t>
      </w:r>
      <w:r w:rsidR="00394044">
        <w:t>měl</w:t>
      </w:r>
      <w:r w:rsidR="00BB19AB" w:rsidRPr="00D95618">
        <w:t xml:space="preserve"> </w:t>
      </w:r>
      <w:r w:rsidR="00CC726E" w:rsidRPr="00D95618">
        <w:t xml:space="preserve">meziročně </w:t>
      </w:r>
      <w:r w:rsidR="00BB19AB" w:rsidRPr="00D95618">
        <w:t xml:space="preserve">spíše </w:t>
      </w:r>
      <w:r w:rsidR="006D5306" w:rsidRPr="00D95618">
        <w:t>stagnující</w:t>
      </w:r>
      <w:r w:rsidR="00BB19AB" w:rsidRPr="00D95618">
        <w:t xml:space="preserve"> </w:t>
      </w:r>
      <w:r w:rsidR="006D5306" w:rsidRPr="00D95618">
        <w:t>tendenci</w:t>
      </w:r>
      <w:r w:rsidR="00BB19AB" w:rsidRPr="00D95618">
        <w:t>, počet zemřelých stagnující až mírně klesající tendenci.</w:t>
      </w:r>
    </w:p>
    <w:p w:rsidR="007362A9" w:rsidRDefault="007362A9" w:rsidP="007362A9">
      <w:r w:rsidRPr="007E6D71">
        <w:lastRenderedPageBreak/>
        <w:t>Z hlediska přírůstku obyvatel stěhováním dochá</w:t>
      </w:r>
      <w:r w:rsidR="00511129" w:rsidRPr="007E6D71">
        <w:t>zelo</w:t>
      </w:r>
      <w:r w:rsidRPr="007E6D71">
        <w:t xml:space="preserve"> v rámci SO ORP </w:t>
      </w:r>
      <w:r w:rsidR="00511129" w:rsidRPr="007E6D71">
        <w:t xml:space="preserve">Lipník nad Bečvou ke střídavému </w:t>
      </w:r>
      <w:r w:rsidR="00C246FE">
        <w:t>meziročnímu</w:t>
      </w:r>
      <w:r w:rsidR="00511129" w:rsidRPr="007E6D71">
        <w:t xml:space="preserve"> úbytku a přírůstku.</w:t>
      </w:r>
      <w:r w:rsidR="007E1B5A">
        <w:t xml:space="preserve"> </w:t>
      </w:r>
      <w:r w:rsidR="00C246FE">
        <w:t>Maximum meziročních úbytků dosahovalo</w:t>
      </w:r>
      <w:r w:rsidR="007E1B5A">
        <w:t xml:space="preserve"> 0,58 %, </w:t>
      </w:r>
      <w:r w:rsidR="00C246FE">
        <w:t>maximum přírůstků</w:t>
      </w:r>
      <w:r w:rsidR="007E1B5A">
        <w:t xml:space="preserve"> 0,80 %.</w:t>
      </w:r>
    </w:p>
    <w:p w:rsidR="00BB1E9B" w:rsidRDefault="00DF2E6F" w:rsidP="00BB1E9B">
      <w:pPr>
        <w:keepNext/>
      </w:pPr>
      <w:r>
        <w:rPr>
          <w:noProof/>
          <w:lang w:eastAsia="cs-CZ"/>
        </w:rPr>
        <w:drawing>
          <wp:inline distT="0" distB="0" distL="0" distR="0" wp14:anchorId="00D57E38" wp14:editId="1957CBC4">
            <wp:extent cx="5760720" cy="3683897"/>
            <wp:effectExtent l="0" t="0" r="11430" b="1206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2E6F" w:rsidRDefault="00BB1E9B" w:rsidP="00F7590B">
      <w:pPr>
        <w:pStyle w:val="Tabulka"/>
      </w:pPr>
      <w:bookmarkStart w:id="57" w:name="_Toc469908873"/>
      <w:r>
        <w:t xml:space="preserve">Graf </w:t>
      </w:r>
      <w:r w:rsidR="005D1BD9">
        <w:fldChar w:fldCharType="begin"/>
      </w:r>
      <w:r w:rsidR="005D1BD9">
        <w:instrText xml:space="preserve"> SEQ Graf \* ARABIC </w:instrText>
      </w:r>
      <w:r w:rsidR="005D1BD9">
        <w:fldChar w:fldCharType="separate"/>
      </w:r>
      <w:r w:rsidR="003A35BB">
        <w:rPr>
          <w:noProof/>
        </w:rPr>
        <w:t>14</w:t>
      </w:r>
      <w:r w:rsidR="005D1BD9">
        <w:rPr>
          <w:noProof/>
        </w:rPr>
        <w:fldChar w:fldCharType="end"/>
      </w:r>
      <w:r w:rsidR="00363E66">
        <w:rPr>
          <w:noProof/>
        </w:rPr>
        <w:t xml:space="preserve"> Vývoj a předpokládaný vývoj počtu obyvatel SO ORP Lipník nad Bečvou v letech 1991 – 2050</w:t>
      </w:r>
      <w:bookmarkEnd w:id="57"/>
    </w:p>
    <w:p w:rsidR="002A14E0" w:rsidRPr="00721BEC" w:rsidRDefault="00CC0BF1" w:rsidP="002A14E0">
      <w:r>
        <w:t>Výhled počtu obyvatel</w:t>
      </w:r>
      <w:r w:rsidR="00C9754E">
        <w:t xml:space="preserve"> SO ORP Lipník nad Bečvou </w:t>
      </w:r>
      <w:r w:rsidR="002A14E0" w:rsidRPr="00C246FE">
        <w:t>předpokládá v pokračujíc</w:t>
      </w:r>
      <w:r>
        <w:t>í trend</w:t>
      </w:r>
      <w:r w:rsidR="00721BEC">
        <w:t xml:space="preserve"> úbytku počtu obyvatel, jak zobrazuje </w:t>
      </w:r>
      <w:r w:rsidR="00721BEC" w:rsidRPr="00721BEC">
        <w:rPr>
          <w:i/>
        </w:rPr>
        <w:t>Graf 14 Vývoj a předpokládaný vývoj počtu obyvatel SO ORP Lipník nad Bečvou v letech 1991 – 2050</w:t>
      </w:r>
      <w:r w:rsidR="00721BEC">
        <w:t xml:space="preserve"> a </w:t>
      </w:r>
      <w:r w:rsidR="00721BEC" w:rsidRPr="00721BEC">
        <w:rPr>
          <w:i/>
        </w:rPr>
        <w:t>Tab. 28 Předpokládaný vývoj počtu obyvatel SO ORP Lipník nad Bečvou do roku 2050</w:t>
      </w:r>
      <w:r w:rsidR="00721BEC">
        <w:t>.</w:t>
      </w:r>
    </w:p>
    <w:tbl>
      <w:tblPr>
        <w:tblStyle w:val="Mkatabulky"/>
        <w:tblW w:w="5000" w:type="pct"/>
        <w:tblLook w:val="04A0" w:firstRow="1" w:lastRow="0" w:firstColumn="1" w:lastColumn="0" w:noHBand="0" w:noVBand="1"/>
      </w:tblPr>
      <w:tblGrid>
        <w:gridCol w:w="1857"/>
        <w:gridCol w:w="1857"/>
        <w:gridCol w:w="1858"/>
        <w:gridCol w:w="1858"/>
        <w:gridCol w:w="1858"/>
      </w:tblGrid>
      <w:tr w:rsidR="00001D62" w:rsidTr="008E7C52">
        <w:tc>
          <w:tcPr>
            <w:tcW w:w="1000" w:type="pct"/>
            <w:tcBorders>
              <w:top w:val="double" w:sz="4" w:space="0" w:color="auto"/>
              <w:left w:val="double" w:sz="4" w:space="0" w:color="auto"/>
            </w:tcBorders>
            <w:shd w:val="clear" w:color="auto" w:fill="BCD9DE" w:themeFill="accent5" w:themeFillTint="66"/>
            <w:vAlign w:val="center"/>
          </w:tcPr>
          <w:p w:rsidR="00001D62" w:rsidRDefault="00001D62"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001D62" w:rsidRPr="0047799D" w:rsidRDefault="00001D62" w:rsidP="008E7C52">
            <w:pPr>
              <w:jc w:val="center"/>
              <w:rPr>
                <w:b/>
                <w:sz w:val="18"/>
              </w:rPr>
            </w:pPr>
            <w:r w:rsidRPr="0047799D">
              <w:rPr>
                <w:b/>
                <w:sz w:val="18"/>
              </w:rPr>
              <w:t>2050</w:t>
            </w:r>
          </w:p>
        </w:tc>
      </w:tr>
      <w:tr w:rsidR="002E5F48" w:rsidTr="00C246FE">
        <w:tc>
          <w:tcPr>
            <w:tcW w:w="1000" w:type="pct"/>
            <w:tcBorders>
              <w:left w:val="double" w:sz="4" w:space="0" w:color="auto"/>
              <w:bottom w:val="double" w:sz="4" w:space="0" w:color="auto"/>
            </w:tcBorders>
            <w:shd w:val="clear" w:color="auto" w:fill="BCD9DE" w:themeFill="accent5" w:themeFillTint="66"/>
            <w:vAlign w:val="center"/>
          </w:tcPr>
          <w:p w:rsidR="002E5F48" w:rsidRPr="004E092F" w:rsidRDefault="002E5F48" w:rsidP="008E7C52">
            <w:pPr>
              <w:pStyle w:val="Bezmezer"/>
              <w:jc w:val="center"/>
              <w:rPr>
                <w:b/>
                <w:sz w:val="18"/>
              </w:rPr>
            </w:pPr>
            <w:r w:rsidRPr="004E092F">
              <w:rPr>
                <w:b/>
                <w:sz w:val="18"/>
              </w:rPr>
              <w:t>POČET OBYVATEL</w:t>
            </w:r>
          </w:p>
        </w:tc>
        <w:tc>
          <w:tcPr>
            <w:tcW w:w="1000" w:type="pct"/>
            <w:tcBorders>
              <w:bottom w:val="double" w:sz="4" w:space="0" w:color="auto"/>
            </w:tcBorders>
            <w:vAlign w:val="center"/>
          </w:tcPr>
          <w:p w:rsidR="002E5F48" w:rsidRPr="00C246FE" w:rsidRDefault="002E5F48" w:rsidP="00C246FE">
            <w:pPr>
              <w:jc w:val="center"/>
              <w:rPr>
                <w:sz w:val="18"/>
                <w:szCs w:val="18"/>
              </w:rPr>
            </w:pPr>
            <w:r w:rsidRPr="00C246FE">
              <w:rPr>
                <w:sz w:val="18"/>
                <w:szCs w:val="18"/>
              </w:rPr>
              <w:t>15</w:t>
            </w:r>
            <w:r w:rsidR="00C246FE">
              <w:rPr>
                <w:sz w:val="18"/>
                <w:szCs w:val="18"/>
              </w:rPr>
              <w:t xml:space="preserve"> </w:t>
            </w:r>
            <w:r w:rsidRPr="00C246FE">
              <w:rPr>
                <w:sz w:val="18"/>
                <w:szCs w:val="18"/>
              </w:rPr>
              <w:t>259</w:t>
            </w:r>
          </w:p>
        </w:tc>
        <w:tc>
          <w:tcPr>
            <w:tcW w:w="1000" w:type="pct"/>
            <w:tcBorders>
              <w:bottom w:val="double" w:sz="4" w:space="0" w:color="auto"/>
            </w:tcBorders>
            <w:vAlign w:val="center"/>
          </w:tcPr>
          <w:p w:rsidR="002E5F48" w:rsidRPr="00C246FE" w:rsidRDefault="002E5F48" w:rsidP="00C246FE">
            <w:pPr>
              <w:jc w:val="center"/>
              <w:rPr>
                <w:sz w:val="18"/>
                <w:szCs w:val="18"/>
              </w:rPr>
            </w:pPr>
            <w:r w:rsidRPr="00C246FE">
              <w:rPr>
                <w:sz w:val="18"/>
                <w:szCs w:val="18"/>
              </w:rPr>
              <w:t>15</w:t>
            </w:r>
            <w:r w:rsidR="00C246FE">
              <w:rPr>
                <w:sz w:val="18"/>
                <w:szCs w:val="18"/>
              </w:rPr>
              <w:t xml:space="preserve"> </w:t>
            </w:r>
            <w:r w:rsidRPr="00C246FE">
              <w:rPr>
                <w:sz w:val="18"/>
                <w:szCs w:val="18"/>
              </w:rPr>
              <w:t>211</w:t>
            </w:r>
          </w:p>
        </w:tc>
        <w:tc>
          <w:tcPr>
            <w:tcW w:w="1000" w:type="pct"/>
            <w:tcBorders>
              <w:bottom w:val="double" w:sz="4" w:space="0" w:color="auto"/>
            </w:tcBorders>
            <w:vAlign w:val="center"/>
          </w:tcPr>
          <w:p w:rsidR="002E5F48" w:rsidRPr="00C246FE" w:rsidRDefault="002E5F48" w:rsidP="00C246FE">
            <w:pPr>
              <w:jc w:val="center"/>
              <w:rPr>
                <w:sz w:val="18"/>
                <w:szCs w:val="18"/>
              </w:rPr>
            </w:pPr>
            <w:r w:rsidRPr="00C246FE">
              <w:rPr>
                <w:sz w:val="18"/>
                <w:szCs w:val="18"/>
              </w:rPr>
              <w:t>15</w:t>
            </w:r>
            <w:r w:rsidR="00C246FE">
              <w:rPr>
                <w:sz w:val="18"/>
                <w:szCs w:val="18"/>
              </w:rPr>
              <w:t xml:space="preserve"> </w:t>
            </w:r>
            <w:r w:rsidRPr="00C246FE">
              <w:rPr>
                <w:sz w:val="18"/>
                <w:szCs w:val="18"/>
              </w:rPr>
              <w:t>161</w:t>
            </w:r>
          </w:p>
        </w:tc>
        <w:tc>
          <w:tcPr>
            <w:tcW w:w="1000" w:type="pct"/>
            <w:tcBorders>
              <w:bottom w:val="double" w:sz="4" w:space="0" w:color="auto"/>
              <w:right w:val="double" w:sz="4" w:space="0" w:color="auto"/>
            </w:tcBorders>
            <w:vAlign w:val="center"/>
          </w:tcPr>
          <w:p w:rsidR="002E5F48" w:rsidRPr="00C246FE" w:rsidRDefault="002E5F48" w:rsidP="006B6BB3">
            <w:pPr>
              <w:keepNext/>
              <w:jc w:val="center"/>
              <w:rPr>
                <w:sz w:val="18"/>
                <w:szCs w:val="18"/>
              </w:rPr>
            </w:pPr>
            <w:r w:rsidRPr="00C246FE">
              <w:rPr>
                <w:sz w:val="18"/>
                <w:szCs w:val="18"/>
              </w:rPr>
              <w:t>14</w:t>
            </w:r>
            <w:r w:rsidR="00C246FE">
              <w:rPr>
                <w:sz w:val="18"/>
                <w:szCs w:val="18"/>
              </w:rPr>
              <w:t xml:space="preserve"> </w:t>
            </w:r>
            <w:r w:rsidRPr="00C246FE">
              <w:rPr>
                <w:sz w:val="18"/>
                <w:szCs w:val="18"/>
              </w:rPr>
              <w:t>984</w:t>
            </w:r>
          </w:p>
        </w:tc>
      </w:tr>
    </w:tbl>
    <w:p w:rsidR="006B6BB3" w:rsidRDefault="006B6BB3" w:rsidP="009638B8">
      <w:pPr>
        <w:pStyle w:val="Tabulka"/>
        <w:rPr>
          <w:noProof/>
        </w:rPr>
      </w:pPr>
      <w:bookmarkStart w:id="58" w:name="_Toc469908902"/>
      <w:r>
        <w:t xml:space="preserve">Tab. </w:t>
      </w:r>
      <w:r w:rsidR="005D1BD9">
        <w:fldChar w:fldCharType="begin"/>
      </w:r>
      <w:r w:rsidR="005D1BD9">
        <w:instrText xml:space="preserve"> SEQ Tab. \* ARABIC </w:instrText>
      </w:r>
      <w:r w:rsidR="005D1BD9">
        <w:fldChar w:fldCharType="separate"/>
      </w:r>
      <w:r w:rsidR="003A35BB">
        <w:rPr>
          <w:noProof/>
        </w:rPr>
        <w:t>28</w:t>
      </w:r>
      <w:r w:rsidR="005D1BD9">
        <w:rPr>
          <w:noProof/>
        </w:rPr>
        <w:fldChar w:fldCharType="end"/>
      </w:r>
      <w:r w:rsidR="00A61103">
        <w:rPr>
          <w:noProof/>
        </w:rPr>
        <w:t xml:space="preserve"> Předpokládaný vývoj počtu obyvatel SO ORP Lipník nad Bečvou do roku 2050</w:t>
      </w:r>
      <w:bookmarkEnd w:id="58"/>
    </w:p>
    <w:p w:rsidR="00F7590B" w:rsidRDefault="00F7590B" w:rsidP="00F7590B"/>
    <w:p w:rsidR="00F7590B" w:rsidRDefault="00F7590B">
      <w:pPr>
        <w:spacing w:before="0" w:after="0"/>
        <w:jc w:val="left"/>
      </w:pPr>
      <w:r>
        <w:br w:type="page"/>
      </w:r>
    </w:p>
    <w:p w:rsidR="00893EB7" w:rsidRDefault="00893EB7" w:rsidP="00C246FE">
      <w:pPr>
        <w:pStyle w:val="Nadpis2"/>
      </w:pPr>
      <w:bookmarkStart w:id="59" w:name="_Toc469989358"/>
      <w:r w:rsidRPr="00F52857">
        <w:lastRenderedPageBreak/>
        <w:t>SO ORP Hranice</w:t>
      </w:r>
      <w:bookmarkEnd w:id="59"/>
    </w:p>
    <w:p w:rsidR="00473F05" w:rsidRDefault="00473F05" w:rsidP="00473F05">
      <w:r w:rsidRPr="007E3A45">
        <w:t xml:space="preserve">SO ORP </w:t>
      </w:r>
      <w:r w:rsidR="00FB3543">
        <w:t>Hranice se nachází ve</w:t>
      </w:r>
      <w:r w:rsidRPr="007E3A45">
        <w:t xml:space="preserve"> </w:t>
      </w:r>
      <w:r w:rsidR="00FB3543">
        <w:t xml:space="preserve">východní </w:t>
      </w:r>
      <w:r w:rsidRPr="007E3A45">
        <w:t>části Olomouckého kraje.</w:t>
      </w:r>
      <w:r>
        <w:t xml:space="preserve"> Na </w:t>
      </w:r>
      <w:r w:rsidR="00FB3543">
        <w:t>severovýchodě sousedí s Moravskoslezským krajem, na jihovýchodě se Zlínským krajem a na západě s SO ORP Lipník nad Bečvou a Olomouc.</w:t>
      </w:r>
      <w:r>
        <w:t xml:space="preserve"> SO ORP Jeseník zahrnuje </w:t>
      </w:r>
      <w:r w:rsidR="00E918B4">
        <w:t>32</w:t>
      </w:r>
      <w:r w:rsidRPr="00F1188E">
        <w:t xml:space="preserve"> obcí -</w:t>
      </w:r>
      <w:r>
        <w:t xml:space="preserve"> </w:t>
      </w:r>
      <w:r w:rsidR="00885D1B" w:rsidRPr="00885D1B">
        <w:t>Bělotín, Býškovice, Černotín, Dolní Těšice, Horní Těšice, Horní Újezd, Hrabůvka, Hranice, Hustopeče nad Bečvou, Jindřichov, Klokočí, Malhotice, Milenov, Milotice nad Bečvou, Olšovec, Opatovice, Paršovice, Partutovice, Polom, Potštát, Provodovice, Radíkov, Rakov, Rouské, Skalička, Střítež nad Ludinou, Špičky, Teplice nad Bečvou, Ústí, Všechovice</w:t>
      </w:r>
      <w:r w:rsidR="00885D1B">
        <w:t xml:space="preserve"> a </w:t>
      </w:r>
      <w:r w:rsidR="00885D1B" w:rsidRPr="00885D1B">
        <w:t>Zámrsky</w:t>
      </w:r>
      <w:r w:rsidR="00885D1B">
        <w:t>.</w:t>
      </w:r>
      <w:r>
        <w:t xml:space="preserve"> </w:t>
      </w:r>
      <w:r w:rsidR="00885D1B" w:rsidRPr="001626FA">
        <w:t xml:space="preserve">Od 1. 1. 2016 </w:t>
      </w:r>
      <w:r w:rsidR="00CA3F2A" w:rsidRPr="001626FA">
        <w:t xml:space="preserve">nově </w:t>
      </w:r>
      <w:r w:rsidR="00885D1B" w:rsidRPr="001626FA">
        <w:t xml:space="preserve">spadá pod SO ORP obec Luboměř pod Strážnou, která </w:t>
      </w:r>
      <w:r w:rsidR="00CA3F2A" w:rsidRPr="001626FA">
        <w:t xml:space="preserve">byla součástí Vojenského újezdu </w:t>
      </w:r>
      <w:r w:rsidR="00885D1B" w:rsidRPr="001626FA">
        <w:t>Libavá</w:t>
      </w:r>
      <w:r w:rsidR="00885D1B">
        <w:t xml:space="preserve">. </w:t>
      </w:r>
      <w:r w:rsidR="009F3DA6" w:rsidRPr="009F3DA6">
        <w:t xml:space="preserve">Obcí s největším počtem obyvatel k 31. 12. 2015 bylo město </w:t>
      </w:r>
      <w:r w:rsidR="009F3DA6">
        <w:t>Hranice</w:t>
      </w:r>
      <w:r w:rsidR="009F3DA6" w:rsidRPr="009F3DA6">
        <w:t xml:space="preserve"> s </w:t>
      </w:r>
      <w:r w:rsidR="00645FCB">
        <w:t>18 407</w:t>
      </w:r>
      <w:r w:rsidR="009F3DA6" w:rsidRPr="009F3DA6">
        <w:t xml:space="preserve"> obyvateli, nejmenší pak byla obec </w:t>
      </w:r>
      <w:r w:rsidR="00645FCB">
        <w:t>Dolní Těšice, která měla k 31. 12. 2015 67</w:t>
      </w:r>
      <w:r w:rsidR="009F3DA6" w:rsidRPr="009F3DA6">
        <w:t xml:space="preserve"> evidovaných obyvatel.</w:t>
      </w:r>
    </w:p>
    <w:p w:rsidR="00473F05" w:rsidRDefault="00473F05" w:rsidP="00473F05">
      <w:r>
        <w:t xml:space="preserve">K 31. 12. 2015 bylo v SO ORP </w:t>
      </w:r>
      <w:r w:rsidR="00645FCB">
        <w:t>Hranice</w:t>
      </w:r>
      <w:r>
        <w:t xml:space="preserve"> evidováno </w:t>
      </w:r>
      <w:r w:rsidR="00645FCB">
        <w:t xml:space="preserve">34 442 </w:t>
      </w:r>
      <w:r>
        <w:t>obyvatel</w:t>
      </w:r>
      <w:r w:rsidR="00645FCB">
        <w:t>, což tvořilo 5,4</w:t>
      </w:r>
      <w:r>
        <w:t xml:space="preserve"> % z celkového počtu obyvatel Olomouckého kraje.</w:t>
      </w:r>
      <w:r w:rsidR="000F79C1">
        <w:t xml:space="preserve"> Vývoj počtu obyvatel v SO ORP Hranice měl, kromě začátku 9</w:t>
      </w:r>
      <w:r w:rsidR="00586D47">
        <w:t>0,</w:t>
      </w:r>
      <w:r w:rsidR="000F79C1">
        <w:t xml:space="preserve"> let a několika jednotlivých roků, klesající tendenci</w:t>
      </w:r>
      <w:r>
        <w:t>.</w:t>
      </w:r>
      <w:r w:rsidR="000F79C1">
        <w:t xml:space="preserve"> Mezi lety 1991 – 1994 počet obyvatel meziročně rostl mezi 0,08 – 1,09 %. Od roku nastal klesající trend, který meziročně dosahoval poklesu mezi 0,06 – 0,38 %. Výjimkou byly roky 1999, 2003, 2006 a 2007, kdy došlo k meziročním nárůstům mezi 0,03 – 0,27 %.</w:t>
      </w:r>
      <w:r>
        <w:t xml:space="preserve"> </w:t>
      </w:r>
      <w:r w:rsidR="0022378D">
        <w:t xml:space="preserve">Jak uvádí </w:t>
      </w:r>
      <w:r w:rsidR="0022378D" w:rsidRPr="0022378D">
        <w:rPr>
          <w:i/>
        </w:rPr>
        <w:t xml:space="preserve">Tab. 29 Vývoj počtu obyvatel SO ORP Hranice mezi lety 1991 – 2015 </w:t>
      </w:r>
      <w:r w:rsidR="0022378D">
        <w:t>p</w:t>
      </w:r>
      <w:r>
        <w:t xml:space="preserve">očet obyvatel mezi lety 1991 – 2015 klesl z původních </w:t>
      </w:r>
      <w:r w:rsidR="000F79C1">
        <w:t>35 082</w:t>
      </w:r>
      <w:r>
        <w:t xml:space="preserve"> o </w:t>
      </w:r>
      <w:r w:rsidR="000F79C1">
        <w:t>640</w:t>
      </w:r>
      <w:r>
        <w:t xml:space="preserve"> na </w:t>
      </w:r>
      <w:r w:rsidR="000F79C1">
        <w:t>34 442</w:t>
      </w:r>
      <w:r>
        <w:t xml:space="preserve"> obyvatel.</w:t>
      </w:r>
    </w:p>
    <w:p w:rsidR="00473F05" w:rsidRDefault="00473F05" w:rsidP="00473F05">
      <w:r w:rsidRPr="00B756F4">
        <w:t>Klesající tendenci obyvatel v posledních letech (2010 – 2015)</w:t>
      </w:r>
      <w:r w:rsidR="00141CA1">
        <w:t>,</w:t>
      </w:r>
      <w:r w:rsidRPr="00B756F4">
        <w:t xml:space="preserve"> poměrově vzhledem k</w:t>
      </w:r>
      <w:r w:rsidR="00141CA1">
        <w:t> </w:t>
      </w:r>
      <w:r w:rsidRPr="00B756F4">
        <w:t>počtu</w:t>
      </w:r>
      <w:r w:rsidR="00FE0C94" w:rsidRPr="00B756F4">
        <w:t xml:space="preserve"> obyvatel</w:t>
      </w:r>
      <w:r w:rsidR="00141CA1">
        <w:t>,</w:t>
      </w:r>
      <w:r w:rsidR="00FE0C94" w:rsidRPr="00B756F4">
        <w:t xml:space="preserve"> pocítila nejvíce obnovená obec Luboměř pod </w:t>
      </w:r>
      <w:r w:rsidR="004A66E4" w:rsidRPr="00B756F4">
        <w:t>Strážnou, kde</w:t>
      </w:r>
      <w:r w:rsidRPr="00B756F4">
        <w:t xml:space="preserve"> počet obyvatel klesl z původních </w:t>
      </w:r>
      <w:r w:rsidR="00FE0C94" w:rsidRPr="00B756F4">
        <w:t>136</w:t>
      </w:r>
      <w:r w:rsidRPr="00B756F4">
        <w:t xml:space="preserve"> na </w:t>
      </w:r>
      <w:r w:rsidR="00FE0C94" w:rsidRPr="00B756F4">
        <w:t>104</w:t>
      </w:r>
      <w:r w:rsidRPr="00B756F4">
        <w:t xml:space="preserve"> obyvatel, tj.</w:t>
      </w:r>
      <w:r w:rsidR="00FE0C94" w:rsidRPr="00B756F4">
        <w:t xml:space="preserve"> </w:t>
      </w:r>
      <w:r w:rsidR="00141CA1">
        <w:t xml:space="preserve">o </w:t>
      </w:r>
      <w:r w:rsidR="00FE0C94" w:rsidRPr="00B756F4">
        <w:t>23,5</w:t>
      </w:r>
      <w:r w:rsidRPr="00B756F4">
        <w:t xml:space="preserve"> %. Naopak </w:t>
      </w:r>
      <w:r w:rsidR="00141CA1">
        <w:t>opačný trend</w:t>
      </w:r>
      <w:r w:rsidRPr="00B756F4">
        <w:t xml:space="preserve"> vývoj</w:t>
      </w:r>
      <w:r w:rsidR="00141CA1">
        <w:t>e</w:t>
      </w:r>
      <w:r w:rsidRPr="00B756F4">
        <w:t xml:space="preserve"> počtu obyvatelstva v SO ORP </w:t>
      </w:r>
      <w:r w:rsidR="00016EDD" w:rsidRPr="00B756F4">
        <w:t>Hranice</w:t>
      </w:r>
      <w:r w:rsidRPr="00B756F4">
        <w:t xml:space="preserve"> </w:t>
      </w:r>
      <w:r w:rsidR="00141CA1">
        <w:t>měla</w:t>
      </w:r>
      <w:r w:rsidRPr="00B756F4">
        <w:t xml:space="preserve"> obec </w:t>
      </w:r>
      <w:r w:rsidR="00016EDD" w:rsidRPr="00B756F4">
        <w:t>Dolní Těšice</w:t>
      </w:r>
      <w:r w:rsidRPr="00B756F4">
        <w:t xml:space="preserve">, kde počet obyvatel mezi lety 2010 - 2015 vzrostl z </w:t>
      </w:r>
      <w:r w:rsidR="00016EDD" w:rsidRPr="00B756F4">
        <w:t>55</w:t>
      </w:r>
      <w:r w:rsidRPr="00B756F4">
        <w:t xml:space="preserve"> na </w:t>
      </w:r>
      <w:r w:rsidR="00016EDD" w:rsidRPr="00B756F4">
        <w:t>67</w:t>
      </w:r>
      <w:r w:rsidRPr="00B756F4">
        <w:t xml:space="preserve"> obyvatel, což </w:t>
      </w:r>
      <w:r w:rsidR="00141CA1">
        <w:t>činilo</w:t>
      </w:r>
      <w:r w:rsidRPr="00B756F4">
        <w:t xml:space="preserve"> přírůstek</w:t>
      </w:r>
      <w:r w:rsidR="00016EDD" w:rsidRPr="00B756F4">
        <w:t xml:space="preserve"> 21,8 %</w:t>
      </w:r>
      <w:r w:rsidRPr="00B756F4">
        <w:t>.</w:t>
      </w:r>
    </w:p>
    <w:tbl>
      <w:tblPr>
        <w:tblStyle w:val="Mkatabulky"/>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6"/>
        <w:gridCol w:w="1268"/>
        <w:gridCol w:w="1350"/>
        <w:gridCol w:w="1350"/>
        <w:gridCol w:w="680"/>
        <w:gridCol w:w="1265"/>
        <w:gridCol w:w="1350"/>
        <w:gridCol w:w="1339"/>
      </w:tblGrid>
      <w:tr w:rsidR="004E092F" w:rsidRPr="00BE4E54" w:rsidTr="00B9649A">
        <w:trPr>
          <w:jc w:val="center"/>
        </w:trPr>
        <w:tc>
          <w:tcPr>
            <w:tcW w:w="369"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2"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7"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c>
          <w:tcPr>
            <w:tcW w:w="366" w:type="pct"/>
            <w:tcBorders>
              <w:top w:val="double" w:sz="4" w:space="0" w:color="auto"/>
              <w:left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ROK</w:t>
            </w:r>
          </w:p>
        </w:tc>
        <w:tc>
          <w:tcPr>
            <w:tcW w:w="681"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POČET OBYVATEL</w:t>
            </w:r>
          </w:p>
        </w:tc>
        <w:tc>
          <w:tcPr>
            <w:tcW w:w="727" w:type="pct"/>
            <w:tcBorders>
              <w:top w:val="double" w:sz="4" w:space="0" w:color="auto"/>
              <w:bottom w:val="single" w:sz="6"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w:t>
            </w:r>
          </w:p>
        </w:tc>
        <w:tc>
          <w:tcPr>
            <w:tcW w:w="722" w:type="pct"/>
            <w:tcBorders>
              <w:top w:val="double" w:sz="4" w:space="0" w:color="auto"/>
              <w:bottom w:val="single" w:sz="6" w:space="0" w:color="auto"/>
              <w:right w:val="double" w:sz="4" w:space="0" w:color="auto"/>
            </w:tcBorders>
            <w:shd w:val="clear" w:color="auto" w:fill="BCD9DE" w:themeFill="accent5" w:themeFillTint="66"/>
            <w:vAlign w:val="center"/>
          </w:tcPr>
          <w:p w:rsidR="004E092F" w:rsidRPr="004E092F" w:rsidRDefault="004E092F" w:rsidP="0047799D">
            <w:pPr>
              <w:pStyle w:val="Bezmezer"/>
              <w:jc w:val="center"/>
              <w:rPr>
                <w:b/>
                <w:sz w:val="18"/>
              </w:rPr>
            </w:pPr>
            <w:r w:rsidRPr="004E092F">
              <w:rPr>
                <w:b/>
                <w:sz w:val="18"/>
              </w:rPr>
              <w:t>MEZIROČNÍ PŘÍRŮSTEK (%)</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1991</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34 933</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384</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1.10%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2004</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34 804</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-78</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22%</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1992</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35 238</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305</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586D47" w:rsidP="005D7E05">
            <w:pPr>
              <w:jc w:val="center"/>
              <w:rPr>
                <w:sz w:val="18"/>
                <w:szCs w:val="18"/>
              </w:rPr>
            </w:pPr>
            <w:r w:rsidRPr="005D7E05">
              <w:rPr>
                <w:sz w:val="18"/>
                <w:szCs w:val="18"/>
              </w:rPr>
              <w:t>0,</w:t>
            </w:r>
            <w:r w:rsidR="003A1D3D" w:rsidRPr="005D7E05">
              <w:rPr>
                <w:sz w:val="18"/>
                <w:szCs w:val="18"/>
              </w:rPr>
              <w:t>87%</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2005</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34 744</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-60</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17%</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1993</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35 326</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88</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586D47" w:rsidP="005D7E05">
            <w:pPr>
              <w:jc w:val="center"/>
              <w:rPr>
                <w:sz w:val="18"/>
                <w:szCs w:val="18"/>
              </w:rPr>
            </w:pPr>
            <w:r w:rsidRPr="005D7E05">
              <w:rPr>
                <w:sz w:val="18"/>
                <w:szCs w:val="18"/>
              </w:rPr>
              <w:t>0,</w:t>
            </w:r>
            <w:r w:rsidR="003A1D3D" w:rsidRPr="005D7E05">
              <w:rPr>
                <w:sz w:val="18"/>
                <w:szCs w:val="18"/>
              </w:rPr>
              <w:t>25%</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2006</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34 788</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44</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586D47" w:rsidP="005D7E05">
            <w:pPr>
              <w:jc w:val="center"/>
              <w:rPr>
                <w:sz w:val="18"/>
                <w:szCs w:val="18"/>
              </w:rPr>
            </w:pPr>
            <w:r w:rsidRPr="005D7E05">
              <w:rPr>
                <w:sz w:val="18"/>
                <w:szCs w:val="18"/>
              </w:rPr>
              <w:t>0,</w:t>
            </w:r>
            <w:r w:rsidR="003A1D3D" w:rsidRPr="005D7E05">
              <w:rPr>
                <w:sz w:val="18"/>
                <w:szCs w:val="18"/>
              </w:rPr>
              <w:t>13%</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1994</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35 356</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30</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586D47" w:rsidP="005D7E05">
            <w:pPr>
              <w:jc w:val="center"/>
              <w:rPr>
                <w:sz w:val="18"/>
                <w:szCs w:val="18"/>
              </w:rPr>
            </w:pPr>
            <w:r w:rsidRPr="005D7E05">
              <w:rPr>
                <w:sz w:val="18"/>
                <w:szCs w:val="18"/>
              </w:rPr>
              <w:t>0,</w:t>
            </w:r>
            <w:r w:rsidR="003A1D3D" w:rsidRPr="005D7E05">
              <w:rPr>
                <w:sz w:val="18"/>
                <w:szCs w:val="18"/>
              </w:rPr>
              <w:t>08%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2007</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34 860</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72</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586D47" w:rsidP="005D7E05">
            <w:pPr>
              <w:jc w:val="center"/>
              <w:rPr>
                <w:sz w:val="18"/>
                <w:szCs w:val="18"/>
              </w:rPr>
            </w:pPr>
            <w:r w:rsidRPr="005D7E05">
              <w:rPr>
                <w:sz w:val="18"/>
                <w:szCs w:val="18"/>
              </w:rPr>
              <w:t>0,</w:t>
            </w:r>
            <w:r w:rsidR="003A1D3D" w:rsidRPr="005D7E05">
              <w:rPr>
                <w:sz w:val="18"/>
                <w:szCs w:val="18"/>
              </w:rPr>
              <w:t>21%</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1995</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35 278</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-78</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22%</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2008</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34 823</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-37</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11%</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1996</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35 257</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-21</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06%</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2009</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34 703</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-120</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35%</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1997</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35 156</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-101</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29%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2010</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34 699</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-4</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01%</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1998</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35 051</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-105</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30%</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2011</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34 649</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-67</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19%</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1999</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35 083</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32</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586D47" w:rsidP="005D7E05">
            <w:pPr>
              <w:jc w:val="center"/>
              <w:rPr>
                <w:sz w:val="18"/>
                <w:szCs w:val="18"/>
              </w:rPr>
            </w:pPr>
            <w:r w:rsidRPr="005D7E05">
              <w:rPr>
                <w:sz w:val="18"/>
                <w:szCs w:val="18"/>
              </w:rPr>
              <w:t>0,</w:t>
            </w:r>
            <w:r w:rsidR="003A1D3D" w:rsidRPr="005D7E05">
              <w:rPr>
                <w:sz w:val="18"/>
                <w:szCs w:val="18"/>
              </w:rPr>
              <w:t>09%</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2012</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34 622</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-27</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08%</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2000</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35 055</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-28</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08%</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2013</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34 492</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-130</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38%</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2001</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34 920</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-45</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13%</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2014</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34 424</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-68</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20%</w:t>
            </w:r>
          </w:p>
        </w:tc>
      </w:tr>
      <w:tr w:rsidR="003A1D3D" w:rsidRPr="00BE4E54" w:rsidTr="00B9649A">
        <w:trPr>
          <w:jc w:val="center"/>
        </w:trPr>
        <w:tc>
          <w:tcPr>
            <w:tcW w:w="369"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2002</w:t>
            </w:r>
          </w:p>
        </w:tc>
        <w:tc>
          <w:tcPr>
            <w:tcW w:w="682"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34 870</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-50</w:t>
            </w:r>
          </w:p>
        </w:tc>
        <w:tc>
          <w:tcPr>
            <w:tcW w:w="727"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14%</w:t>
            </w:r>
          </w:p>
        </w:tc>
        <w:tc>
          <w:tcPr>
            <w:tcW w:w="366" w:type="pct"/>
            <w:tcBorders>
              <w:top w:val="single" w:sz="6" w:space="0" w:color="auto"/>
              <w:left w:val="double" w:sz="4" w:space="0" w:color="auto"/>
              <w:bottom w:val="single" w:sz="6" w:space="0" w:color="auto"/>
              <w:right w:val="single" w:sz="6" w:space="0" w:color="auto"/>
            </w:tcBorders>
            <w:shd w:val="clear" w:color="auto" w:fill="BCD9DE" w:themeFill="accent5" w:themeFillTint="66"/>
            <w:vAlign w:val="center"/>
          </w:tcPr>
          <w:p w:rsidR="003A1D3D" w:rsidRPr="005D7E05" w:rsidRDefault="003A1D3D" w:rsidP="005D7E05">
            <w:pPr>
              <w:pStyle w:val="Bezmezer"/>
              <w:jc w:val="center"/>
              <w:rPr>
                <w:b/>
                <w:sz w:val="18"/>
                <w:szCs w:val="18"/>
              </w:rPr>
            </w:pPr>
            <w:r w:rsidRPr="005D7E05">
              <w:rPr>
                <w:b/>
                <w:sz w:val="18"/>
                <w:szCs w:val="18"/>
              </w:rPr>
              <w:t>2015</w:t>
            </w:r>
          </w:p>
        </w:tc>
        <w:tc>
          <w:tcPr>
            <w:tcW w:w="681"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34 338</w:t>
            </w:r>
          </w:p>
        </w:tc>
        <w:tc>
          <w:tcPr>
            <w:tcW w:w="727" w:type="pct"/>
            <w:tcBorders>
              <w:top w:val="single" w:sz="6" w:space="0" w:color="auto"/>
              <w:left w:val="single" w:sz="6" w:space="0" w:color="auto"/>
              <w:bottom w:val="single" w:sz="6" w:space="0" w:color="auto"/>
              <w:right w:val="single" w:sz="6" w:space="0" w:color="auto"/>
            </w:tcBorders>
          </w:tcPr>
          <w:p w:rsidR="003A1D3D" w:rsidRPr="005D7E05" w:rsidRDefault="003A1D3D" w:rsidP="005D7E05">
            <w:pPr>
              <w:jc w:val="center"/>
              <w:rPr>
                <w:sz w:val="18"/>
                <w:szCs w:val="18"/>
              </w:rPr>
            </w:pPr>
            <w:r w:rsidRPr="005D7E05">
              <w:rPr>
                <w:sz w:val="18"/>
                <w:szCs w:val="18"/>
              </w:rPr>
              <w:t>-86</w:t>
            </w:r>
          </w:p>
        </w:tc>
        <w:tc>
          <w:tcPr>
            <w:tcW w:w="722" w:type="pct"/>
            <w:tcBorders>
              <w:top w:val="single" w:sz="6" w:space="0" w:color="auto"/>
              <w:left w:val="single" w:sz="6" w:space="0" w:color="auto"/>
              <w:bottom w:val="single" w:sz="6" w:space="0" w:color="auto"/>
              <w:right w:val="double" w:sz="4" w:space="0" w:color="auto"/>
            </w:tcBorders>
          </w:tcPr>
          <w:p w:rsidR="003A1D3D" w:rsidRPr="005D7E05" w:rsidRDefault="003A1D3D" w:rsidP="005D7E05">
            <w:pPr>
              <w:jc w:val="center"/>
              <w:rPr>
                <w:sz w:val="18"/>
                <w:szCs w:val="18"/>
              </w:rPr>
            </w:pPr>
            <w:r w:rsidRPr="005D7E05">
              <w:rPr>
                <w:sz w:val="18"/>
                <w:szCs w:val="18"/>
              </w:rPr>
              <w:t>-</w:t>
            </w:r>
            <w:r w:rsidR="00586D47" w:rsidRPr="005D7E05">
              <w:rPr>
                <w:sz w:val="18"/>
                <w:szCs w:val="18"/>
              </w:rPr>
              <w:t>0,</w:t>
            </w:r>
            <w:r w:rsidRPr="005D7E05">
              <w:rPr>
                <w:sz w:val="18"/>
                <w:szCs w:val="18"/>
              </w:rPr>
              <w:t>25%</w:t>
            </w:r>
          </w:p>
        </w:tc>
      </w:tr>
      <w:tr w:rsidR="00DB34D9" w:rsidRPr="00BE4E54" w:rsidTr="00B9649A">
        <w:trPr>
          <w:jc w:val="center"/>
        </w:trPr>
        <w:tc>
          <w:tcPr>
            <w:tcW w:w="369" w:type="pct"/>
            <w:tcBorders>
              <w:top w:val="single" w:sz="6" w:space="0" w:color="auto"/>
              <w:left w:val="double" w:sz="4" w:space="0" w:color="auto"/>
              <w:bottom w:val="double" w:sz="4" w:space="0" w:color="auto"/>
              <w:right w:val="single" w:sz="6" w:space="0" w:color="auto"/>
            </w:tcBorders>
            <w:shd w:val="clear" w:color="auto" w:fill="BCD9DE" w:themeFill="accent5" w:themeFillTint="66"/>
            <w:vAlign w:val="center"/>
          </w:tcPr>
          <w:p w:rsidR="00DB34D9" w:rsidRPr="005D7E05" w:rsidRDefault="00DB34D9" w:rsidP="005D7E05">
            <w:pPr>
              <w:pStyle w:val="Bezmezer"/>
              <w:jc w:val="center"/>
              <w:rPr>
                <w:b/>
                <w:sz w:val="18"/>
                <w:szCs w:val="18"/>
              </w:rPr>
            </w:pPr>
            <w:r w:rsidRPr="005D7E05">
              <w:rPr>
                <w:b/>
                <w:sz w:val="18"/>
                <w:szCs w:val="18"/>
              </w:rPr>
              <w:t>2003</w:t>
            </w:r>
          </w:p>
        </w:tc>
        <w:tc>
          <w:tcPr>
            <w:tcW w:w="682" w:type="pct"/>
            <w:tcBorders>
              <w:top w:val="single" w:sz="6" w:space="0" w:color="auto"/>
              <w:left w:val="single" w:sz="6" w:space="0" w:color="auto"/>
              <w:bottom w:val="double" w:sz="4" w:space="0" w:color="auto"/>
              <w:right w:val="single" w:sz="6" w:space="0" w:color="auto"/>
            </w:tcBorders>
          </w:tcPr>
          <w:p w:rsidR="00DB34D9" w:rsidRPr="005D7E05" w:rsidRDefault="00DB34D9" w:rsidP="005D7E05">
            <w:pPr>
              <w:jc w:val="center"/>
              <w:rPr>
                <w:sz w:val="18"/>
                <w:szCs w:val="18"/>
              </w:rPr>
            </w:pPr>
            <w:r w:rsidRPr="005D7E05">
              <w:rPr>
                <w:sz w:val="18"/>
                <w:szCs w:val="18"/>
              </w:rPr>
              <w:t>34 882</w:t>
            </w:r>
          </w:p>
        </w:tc>
        <w:tc>
          <w:tcPr>
            <w:tcW w:w="727" w:type="pct"/>
            <w:tcBorders>
              <w:top w:val="single" w:sz="6" w:space="0" w:color="auto"/>
              <w:left w:val="single" w:sz="6" w:space="0" w:color="auto"/>
              <w:bottom w:val="double" w:sz="4" w:space="0" w:color="auto"/>
              <w:right w:val="single" w:sz="6" w:space="0" w:color="auto"/>
            </w:tcBorders>
          </w:tcPr>
          <w:p w:rsidR="00DB34D9" w:rsidRPr="005D7E05" w:rsidRDefault="00DB34D9" w:rsidP="005D7E05">
            <w:pPr>
              <w:jc w:val="center"/>
              <w:rPr>
                <w:sz w:val="18"/>
                <w:szCs w:val="18"/>
              </w:rPr>
            </w:pPr>
            <w:r w:rsidRPr="005D7E05">
              <w:rPr>
                <w:sz w:val="18"/>
                <w:szCs w:val="18"/>
              </w:rPr>
              <w:t>12</w:t>
            </w:r>
          </w:p>
        </w:tc>
        <w:tc>
          <w:tcPr>
            <w:tcW w:w="727" w:type="pct"/>
            <w:tcBorders>
              <w:top w:val="single" w:sz="6" w:space="0" w:color="auto"/>
              <w:left w:val="single" w:sz="6" w:space="0" w:color="auto"/>
              <w:bottom w:val="double" w:sz="4" w:space="0" w:color="auto"/>
              <w:right w:val="double" w:sz="4" w:space="0" w:color="auto"/>
            </w:tcBorders>
          </w:tcPr>
          <w:p w:rsidR="00DB34D9" w:rsidRPr="005D7E05" w:rsidRDefault="00DB34D9" w:rsidP="005D7E05">
            <w:pPr>
              <w:jc w:val="center"/>
              <w:rPr>
                <w:sz w:val="18"/>
                <w:szCs w:val="18"/>
              </w:rPr>
            </w:pPr>
            <w:r w:rsidRPr="005D7E05">
              <w:rPr>
                <w:sz w:val="18"/>
                <w:szCs w:val="18"/>
              </w:rPr>
              <w:t>0,03%</w:t>
            </w:r>
          </w:p>
        </w:tc>
        <w:tc>
          <w:tcPr>
            <w:tcW w:w="2496" w:type="pct"/>
            <w:gridSpan w:val="4"/>
            <w:tcBorders>
              <w:top w:val="single" w:sz="6" w:space="0" w:color="auto"/>
              <w:left w:val="double" w:sz="4" w:space="0" w:color="auto"/>
              <w:bottom w:val="double" w:sz="4" w:space="0" w:color="auto"/>
              <w:right w:val="double" w:sz="4" w:space="0" w:color="auto"/>
            </w:tcBorders>
            <w:shd w:val="clear" w:color="auto" w:fill="auto"/>
            <w:vAlign w:val="center"/>
          </w:tcPr>
          <w:p w:rsidR="00DB34D9" w:rsidRPr="005D7E05" w:rsidRDefault="00DB34D9" w:rsidP="006B6BB3">
            <w:pPr>
              <w:pStyle w:val="Bezmezer"/>
              <w:keepNext/>
              <w:jc w:val="center"/>
              <w:rPr>
                <w:sz w:val="18"/>
                <w:szCs w:val="18"/>
              </w:rPr>
            </w:pPr>
          </w:p>
        </w:tc>
      </w:tr>
    </w:tbl>
    <w:p w:rsidR="006B6BB3" w:rsidRDefault="006B6BB3" w:rsidP="009638B8">
      <w:pPr>
        <w:pStyle w:val="Tabulka"/>
      </w:pPr>
      <w:bookmarkStart w:id="60" w:name="_Toc469908903"/>
      <w:r>
        <w:t xml:space="preserve">Tab. </w:t>
      </w:r>
      <w:r w:rsidR="005D1BD9">
        <w:fldChar w:fldCharType="begin"/>
      </w:r>
      <w:r w:rsidR="005D1BD9">
        <w:instrText xml:space="preserve"> SEQ Tab. \* ARABIC </w:instrText>
      </w:r>
      <w:r w:rsidR="005D1BD9">
        <w:fldChar w:fldCharType="separate"/>
      </w:r>
      <w:r w:rsidR="003A35BB">
        <w:rPr>
          <w:noProof/>
        </w:rPr>
        <w:t>29</w:t>
      </w:r>
      <w:r w:rsidR="005D1BD9">
        <w:rPr>
          <w:noProof/>
        </w:rPr>
        <w:fldChar w:fldCharType="end"/>
      </w:r>
      <w:r w:rsidR="001B63EE">
        <w:rPr>
          <w:noProof/>
        </w:rPr>
        <w:t xml:space="preserve"> Vývoj počtu obyvatel SO ORP Hranice mezi lety 1991 – 2015</w:t>
      </w:r>
      <w:bookmarkEnd w:id="60"/>
    </w:p>
    <w:p w:rsidR="007362A9" w:rsidRPr="00254E1B" w:rsidRDefault="007362A9" w:rsidP="007362A9">
      <w:r w:rsidRPr="00254E1B">
        <w:t xml:space="preserve">Počet zemřelých v SO ORP </w:t>
      </w:r>
      <w:r w:rsidR="00E92937" w:rsidRPr="00254E1B">
        <w:t>Hranice</w:t>
      </w:r>
      <w:r w:rsidRPr="00254E1B">
        <w:t xml:space="preserve"> poprvé překonal p</w:t>
      </w:r>
      <w:r w:rsidR="00AE31EA" w:rsidRPr="00254E1B">
        <w:t>očet živě narozených v roce 1995</w:t>
      </w:r>
      <w:r w:rsidRPr="00254E1B">
        <w:t xml:space="preserve"> (</w:t>
      </w:r>
      <w:r w:rsidR="00AE31EA" w:rsidRPr="00254E1B">
        <w:t>349 živě narozených, 376</w:t>
      </w:r>
      <w:r w:rsidRPr="00254E1B">
        <w:t xml:space="preserve"> zemřelých)</w:t>
      </w:r>
      <w:r w:rsidR="00AE31EA" w:rsidRPr="00254E1B">
        <w:t>.</w:t>
      </w:r>
      <w:r w:rsidRPr="00254E1B">
        <w:t xml:space="preserve"> </w:t>
      </w:r>
      <w:r w:rsidR="00AE31EA" w:rsidRPr="00254E1B">
        <w:t>Tento trend pokračoval, s </w:t>
      </w:r>
      <w:r w:rsidR="0093350C" w:rsidRPr="00254E1B">
        <w:t>výjimkou</w:t>
      </w:r>
      <w:r w:rsidR="00AE31EA" w:rsidRPr="00254E1B">
        <w:t xml:space="preserve"> let 1999 a 2003, do roku 2004. Mezi lety 2005 a 2010 opět došlo k nárůstu živě narozených oproti zemřelým.</w:t>
      </w:r>
      <w:r w:rsidR="00421597" w:rsidRPr="00254E1B">
        <w:t xml:space="preserve"> Od roku 2011, s </w:t>
      </w:r>
      <w:r w:rsidR="0093350C" w:rsidRPr="00254E1B">
        <w:t>výjimkou</w:t>
      </w:r>
      <w:r w:rsidR="00421597" w:rsidRPr="00254E1B">
        <w:t xml:space="preserve"> roku 2014</w:t>
      </w:r>
      <w:r w:rsidR="00254E1B" w:rsidRPr="00254E1B">
        <w:t>, nastal opět trend</w:t>
      </w:r>
      <w:r w:rsidR="00421597" w:rsidRPr="00254E1B">
        <w:t xml:space="preserve"> </w:t>
      </w:r>
      <w:r w:rsidR="00254E1B" w:rsidRPr="00254E1B">
        <w:t>vyššího počtu zemřelých oproti živě narozeným. Meziroční počet živě narozených byl mezi lety 1991 – 2015 převážně stagnující až mírně klesající, počet zemřelých mírně klesající až stagnující.</w:t>
      </w:r>
      <w:r w:rsidR="00421597" w:rsidRPr="00254E1B">
        <w:t xml:space="preserve"> </w:t>
      </w:r>
    </w:p>
    <w:p w:rsidR="007362A9" w:rsidRDefault="007362A9" w:rsidP="007362A9">
      <w:r w:rsidRPr="003C25EC">
        <w:lastRenderedPageBreak/>
        <w:t>Z hlediska přírůstku obyvatel stěhováním dochá</w:t>
      </w:r>
      <w:r w:rsidR="00DA4A5A" w:rsidRPr="003C25EC">
        <w:t>zelo</w:t>
      </w:r>
      <w:r w:rsidRPr="003C25EC">
        <w:t xml:space="preserve"> v rám</w:t>
      </w:r>
      <w:r w:rsidR="00182FB2" w:rsidRPr="003C25EC">
        <w:t>ci SO ORP</w:t>
      </w:r>
      <w:r w:rsidR="00E00DAA">
        <w:t xml:space="preserve"> Hranice</w:t>
      </w:r>
      <w:r w:rsidR="00182FB2" w:rsidRPr="003C25EC">
        <w:t xml:space="preserve"> k dlouhodobému úbytku, </w:t>
      </w:r>
      <w:r w:rsidR="00DA4A5A" w:rsidRPr="003C25EC">
        <w:t xml:space="preserve">který se meziročně </w:t>
      </w:r>
      <w:r w:rsidR="0093350C">
        <w:t>pohyboval</w:t>
      </w:r>
      <w:r w:rsidR="00DA4A5A" w:rsidRPr="003C25EC">
        <w:t xml:space="preserve"> mezi 0,02 – 0,39 %. </w:t>
      </w:r>
      <w:r w:rsidR="003C25EC" w:rsidRPr="003C25EC">
        <w:t>Výjimkou</w:t>
      </w:r>
      <w:r w:rsidR="00DA4A5A" w:rsidRPr="003C25EC">
        <w:t xml:space="preserve"> byly roky 1999, 2003 a 2007, kdy došlo k mírnému meziročnímu přírůstku </w:t>
      </w:r>
      <w:r w:rsidR="003C25EC" w:rsidRPr="003C25EC">
        <w:t>mezi</w:t>
      </w:r>
      <w:r w:rsidR="00DA4A5A" w:rsidRPr="003C25EC">
        <w:t xml:space="preserve"> </w:t>
      </w:r>
      <w:r w:rsidR="003C25EC" w:rsidRPr="003C25EC">
        <w:t>0,01 – 0,10 %.</w:t>
      </w:r>
    </w:p>
    <w:p w:rsidR="00BB1E9B" w:rsidRDefault="00DF2E6F" w:rsidP="00BB1E9B">
      <w:pPr>
        <w:keepNext/>
      </w:pPr>
      <w:r>
        <w:rPr>
          <w:noProof/>
          <w:lang w:eastAsia="cs-CZ"/>
        </w:rPr>
        <w:drawing>
          <wp:inline distT="0" distB="0" distL="0" distR="0" wp14:anchorId="5830D221" wp14:editId="63FA1C9B">
            <wp:extent cx="5760720" cy="3683897"/>
            <wp:effectExtent l="0" t="0" r="11430" b="1206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2E6F" w:rsidRDefault="00BB1E9B" w:rsidP="009638B8">
      <w:pPr>
        <w:pStyle w:val="Tabulka"/>
      </w:pPr>
      <w:bookmarkStart w:id="61" w:name="_Toc469908874"/>
      <w:r>
        <w:t xml:space="preserve">Graf </w:t>
      </w:r>
      <w:r w:rsidR="005D1BD9">
        <w:fldChar w:fldCharType="begin"/>
      </w:r>
      <w:r w:rsidR="005D1BD9">
        <w:instrText xml:space="preserve"> SEQ Graf \* ARABIC </w:instrText>
      </w:r>
      <w:r w:rsidR="005D1BD9">
        <w:fldChar w:fldCharType="separate"/>
      </w:r>
      <w:r w:rsidR="003A35BB">
        <w:rPr>
          <w:noProof/>
        </w:rPr>
        <w:t>15</w:t>
      </w:r>
      <w:r w:rsidR="005D1BD9">
        <w:rPr>
          <w:noProof/>
        </w:rPr>
        <w:fldChar w:fldCharType="end"/>
      </w:r>
      <w:r w:rsidR="00363E66" w:rsidRPr="00363E66">
        <w:rPr>
          <w:noProof/>
        </w:rPr>
        <w:t xml:space="preserve"> </w:t>
      </w:r>
      <w:r w:rsidR="00363E66">
        <w:rPr>
          <w:noProof/>
        </w:rPr>
        <w:t>Vývoj a předpokládaný vývoj počtu obyvatel SO ORP Hranice v letech 1991 – 2050</w:t>
      </w:r>
      <w:bookmarkEnd w:id="61"/>
    </w:p>
    <w:p w:rsidR="002A14E0" w:rsidRDefault="002A14E0" w:rsidP="002A14E0">
      <w:r w:rsidRPr="00254E1B">
        <w:t xml:space="preserve">Výhled počtu obyvatel </w:t>
      </w:r>
      <w:r w:rsidR="0093350C">
        <w:t xml:space="preserve">SO ORP Hranice </w:t>
      </w:r>
      <w:r w:rsidRPr="00254E1B">
        <w:t>předpokládá v pokračujíc</w:t>
      </w:r>
      <w:r w:rsidR="009608C9">
        <w:t>ím trendu úbytku počtu obyvatel s</w:t>
      </w:r>
      <w:r w:rsidR="0023495C">
        <w:t xml:space="preserve">e zohledněním částečné stagnace, jak zobrazuje </w:t>
      </w:r>
      <w:r w:rsidR="0023495C" w:rsidRPr="0023495C">
        <w:rPr>
          <w:i/>
        </w:rPr>
        <w:t>Graf 15 Vývoj a předpokládaný vývoj počtu obyvatel SO ORP Hranice v letech 1991 – 2050</w:t>
      </w:r>
      <w:r w:rsidR="0023495C">
        <w:t xml:space="preserve"> a </w:t>
      </w:r>
      <w:r w:rsidR="0023495C" w:rsidRPr="0023495C">
        <w:rPr>
          <w:i/>
        </w:rPr>
        <w:t>Tab. 30 Předpokládaný vývoj počtu obyvatel SO ORP Hranice do roku 2050</w:t>
      </w:r>
      <w:r w:rsidR="0023495C">
        <w:t>.</w:t>
      </w:r>
    </w:p>
    <w:tbl>
      <w:tblPr>
        <w:tblStyle w:val="Mkatabulky"/>
        <w:tblW w:w="5000" w:type="pct"/>
        <w:tblLook w:val="04A0" w:firstRow="1" w:lastRow="0" w:firstColumn="1" w:lastColumn="0" w:noHBand="0" w:noVBand="1"/>
      </w:tblPr>
      <w:tblGrid>
        <w:gridCol w:w="1857"/>
        <w:gridCol w:w="1857"/>
        <w:gridCol w:w="1858"/>
        <w:gridCol w:w="1858"/>
        <w:gridCol w:w="1858"/>
      </w:tblGrid>
      <w:tr w:rsidR="001C5FEB" w:rsidTr="008E7C52">
        <w:tc>
          <w:tcPr>
            <w:tcW w:w="1000" w:type="pct"/>
            <w:tcBorders>
              <w:top w:val="double" w:sz="4" w:space="0" w:color="auto"/>
              <w:left w:val="double" w:sz="4" w:space="0" w:color="auto"/>
            </w:tcBorders>
            <w:shd w:val="clear" w:color="auto" w:fill="BCD9DE" w:themeFill="accent5" w:themeFillTint="66"/>
            <w:vAlign w:val="center"/>
          </w:tcPr>
          <w:p w:rsidR="001C5FEB" w:rsidRDefault="001C5FEB" w:rsidP="008E7C52">
            <w:pPr>
              <w:jc w:val="center"/>
            </w:pPr>
            <w:r w:rsidRPr="004E092F">
              <w:rPr>
                <w:b/>
                <w:sz w:val="18"/>
              </w:rPr>
              <w:t>ROK</w:t>
            </w:r>
          </w:p>
        </w:tc>
        <w:tc>
          <w:tcPr>
            <w:tcW w:w="1000" w:type="pct"/>
            <w:tcBorders>
              <w:top w:val="double" w:sz="4" w:space="0" w:color="auto"/>
            </w:tcBorders>
            <w:shd w:val="clear" w:color="auto" w:fill="BCD9DE" w:themeFill="accent5" w:themeFillTint="66"/>
            <w:vAlign w:val="center"/>
          </w:tcPr>
          <w:p w:rsidR="001C5FEB" w:rsidRPr="0047799D" w:rsidRDefault="001C5FEB" w:rsidP="008E7C52">
            <w:pPr>
              <w:jc w:val="center"/>
              <w:rPr>
                <w:b/>
                <w:sz w:val="18"/>
              </w:rPr>
            </w:pPr>
            <w:r w:rsidRPr="0047799D">
              <w:rPr>
                <w:b/>
                <w:sz w:val="18"/>
              </w:rPr>
              <w:t>2020</w:t>
            </w:r>
          </w:p>
        </w:tc>
        <w:tc>
          <w:tcPr>
            <w:tcW w:w="1000" w:type="pct"/>
            <w:tcBorders>
              <w:top w:val="double" w:sz="4" w:space="0" w:color="auto"/>
            </w:tcBorders>
            <w:shd w:val="clear" w:color="auto" w:fill="BCD9DE" w:themeFill="accent5" w:themeFillTint="66"/>
            <w:vAlign w:val="center"/>
          </w:tcPr>
          <w:p w:rsidR="001C5FEB" w:rsidRPr="0047799D" w:rsidRDefault="001C5FEB" w:rsidP="008E7C52">
            <w:pPr>
              <w:jc w:val="center"/>
              <w:rPr>
                <w:b/>
                <w:sz w:val="18"/>
              </w:rPr>
            </w:pPr>
            <w:r w:rsidRPr="0047799D">
              <w:rPr>
                <w:b/>
                <w:sz w:val="18"/>
              </w:rPr>
              <w:t>2025</w:t>
            </w:r>
          </w:p>
        </w:tc>
        <w:tc>
          <w:tcPr>
            <w:tcW w:w="1000" w:type="pct"/>
            <w:tcBorders>
              <w:top w:val="double" w:sz="4" w:space="0" w:color="auto"/>
            </w:tcBorders>
            <w:shd w:val="clear" w:color="auto" w:fill="BCD9DE" w:themeFill="accent5" w:themeFillTint="66"/>
            <w:vAlign w:val="center"/>
          </w:tcPr>
          <w:p w:rsidR="001C5FEB" w:rsidRPr="0047799D" w:rsidRDefault="001C5FEB" w:rsidP="008E7C52">
            <w:pPr>
              <w:jc w:val="center"/>
              <w:rPr>
                <w:b/>
                <w:sz w:val="18"/>
              </w:rPr>
            </w:pPr>
            <w:r w:rsidRPr="0047799D">
              <w:rPr>
                <w:b/>
                <w:sz w:val="18"/>
              </w:rPr>
              <w:t>2030</w:t>
            </w:r>
          </w:p>
        </w:tc>
        <w:tc>
          <w:tcPr>
            <w:tcW w:w="1000" w:type="pct"/>
            <w:tcBorders>
              <w:top w:val="double" w:sz="4" w:space="0" w:color="auto"/>
              <w:right w:val="double" w:sz="4" w:space="0" w:color="auto"/>
            </w:tcBorders>
            <w:shd w:val="clear" w:color="auto" w:fill="BCD9DE" w:themeFill="accent5" w:themeFillTint="66"/>
            <w:vAlign w:val="center"/>
          </w:tcPr>
          <w:p w:rsidR="001C5FEB" w:rsidRPr="0047799D" w:rsidRDefault="001C5FEB" w:rsidP="008E7C52">
            <w:pPr>
              <w:jc w:val="center"/>
              <w:rPr>
                <w:b/>
                <w:sz w:val="18"/>
              </w:rPr>
            </w:pPr>
            <w:r w:rsidRPr="0047799D">
              <w:rPr>
                <w:b/>
                <w:sz w:val="18"/>
              </w:rPr>
              <w:t>2050</w:t>
            </w:r>
          </w:p>
        </w:tc>
      </w:tr>
      <w:tr w:rsidR="002E5F48" w:rsidTr="00A045AB">
        <w:tc>
          <w:tcPr>
            <w:tcW w:w="1000" w:type="pct"/>
            <w:tcBorders>
              <w:left w:val="double" w:sz="4" w:space="0" w:color="auto"/>
              <w:bottom w:val="double" w:sz="4" w:space="0" w:color="auto"/>
            </w:tcBorders>
            <w:shd w:val="clear" w:color="auto" w:fill="BCD9DE" w:themeFill="accent5" w:themeFillTint="66"/>
            <w:vAlign w:val="center"/>
          </w:tcPr>
          <w:p w:rsidR="002E5F48" w:rsidRPr="004E092F" w:rsidRDefault="002E5F48" w:rsidP="008E7C52">
            <w:pPr>
              <w:pStyle w:val="Bezmezer"/>
              <w:jc w:val="center"/>
              <w:rPr>
                <w:b/>
                <w:sz w:val="18"/>
              </w:rPr>
            </w:pPr>
            <w:r w:rsidRPr="004E092F">
              <w:rPr>
                <w:b/>
                <w:sz w:val="18"/>
              </w:rPr>
              <w:t>POČET OBYVATEL</w:t>
            </w:r>
          </w:p>
        </w:tc>
        <w:tc>
          <w:tcPr>
            <w:tcW w:w="1000" w:type="pct"/>
            <w:tcBorders>
              <w:bottom w:val="double" w:sz="4" w:space="0" w:color="auto"/>
            </w:tcBorders>
            <w:vAlign w:val="center"/>
          </w:tcPr>
          <w:p w:rsidR="002E5F48" w:rsidRPr="00A045AB" w:rsidRDefault="002E5F48" w:rsidP="00A045AB">
            <w:pPr>
              <w:jc w:val="center"/>
              <w:rPr>
                <w:sz w:val="18"/>
                <w:szCs w:val="18"/>
              </w:rPr>
            </w:pPr>
            <w:r w:rsidRPr="00A045AB">
              <w:rPr>
                <w:sz w:val="18"/>
                <w:szCs w:val="18"/>
              </w:rPr>
              <w:t>33</w:t>
            </w:r>
            <w:r w:rsidR="00A045AB">
              <w:rPr>
                <w:sz w:val="18"/>
                <w:szCs w:val="18"/>
              </w:rPr>
              <w:t xml:space="preserve"> </w:t>
            </w:r>
            <w:r w:rsidRPr="00A045AB">
              <w:rPr>
                <w:sz w:val="18"/>
                <w:szCs w:val="18"/>
              </w:rPr>
              <w:t>987</w:t>
            </w:r>
          </w:p>
        </w:tc>
        <w:tc>
          <w:tcPr>
            <w:tcW w:w="1000" w:type="pct"/>
            <w:tcBorders>
              <w:bottom w:val="double" w:sz="4" w:space="0" w:color="auto"/>
            </w:tcBorders>
            <w:vAlign w:val="center"/>
          </w:tcPr>
          <w:p w:rsidR="002E5F48" w:rsidRPr="00A045AB" w:rsidRDefault="002E5F48" w:rsidP="00A045AB">
            <w:pPr>
              <w:jc w:val="center"/>
              <w:rPr>
                <w:sz w:val="18"/>
                <w:szCs w:val="18"/>
              </w:rPr>
            </w:pPr>
            <w:r w:rsidRPr="00A045AB">
              <w:rPr>
                <w:sz w:val="18"/>
                <w:szCs w:val="18"/>
              </w:rPr>
              <w:t>34</w:t>
            </w:r>
            <w:r w:rsidR="00A045AB">
              <w:rPr>
                <w:sz w:val="18"/>
                <w:szCs w:val="18"/>
              </w:rPr>
              <w:t xml:space="preserve"> </w:t>
            </w:r>
            <w:r w:rsidRPr="00A045AB">
              <w:rPr>
                <w:sz w:val="18"/>
                <w:szCs w:val="18"/>
              </w:rPr>
              <w:t>004</w:t>
            </w:r>
          </w:p>
        </w:tc>
        <w:tc>
          <w:tcPr>
            <w:tcW w:w="1000" w:type="pct"/>
            <w:tcBorders>
              <w:bottom w:val="double" w:sz="4" w:space="0" w:color="auto"/>
            </w:tcBorders>
            <w:vAlign w:val="center"/>
          </w:tcPr>
          <w:p w:rsidR="002E5F48" w:rsidRPr="00A045AB" w:rsidRDefault="002E5F48" w:rsidP="00A045AB">
            <w:pPr>
              <w:jc w:val="center"/>
              <w:rPr>
                <w:sz w:val="18"/>
                <w:szCs w:val="18"/>
              </w:rPr>
            </w:pPr>
            <w:r w:rsidRPr="00A045AB">
              <w:rPr>
                <w:sz w:val="18"/>
                <w:szCs w:val="18"/>
              </w:rPr>
              <w:t>34</w:t>
            </w:r>
            <w:r w:rsidR="00A045AB">
              <w:rPr>
                <w:sz w:val="18"/>
                <w:szCs w:val="18"/>
              </w:rPr>
              <w:t xml:space="preserve"> </w:t>
            </w:r>
            <w:r w:rsidRPr="00A045AB">
              <w:rPr>
                <w:sz w:val="18"/>
                <w:szCs w:val="18"/>
              </w:rPr>
              <w:t>031</w:t>
            </w:r>
          </w:p>
        </w:tc>
        <w:tc>
          <w:tcPr>
            <w:tcW w:w="1000" w:type="pct"/>
            <w:tcBorders>
              <w:bottom w:val="double" w:sz="4" w:space="0" w:color="auto"/>
              <w:right w:val="double" w:sz="4" w:space="0" w:color="auto"/>
            </w:tcBorders>
            <w:vAlign w:val="center"/>
          </w:tcPr>
          <w:p w:rsidR="002E5F48" w:rsidRPr="00A045AB" w:rsidRDefault="002E5F48" w:rsidP="006B6BB3">
            <w:pPr>
              <w:keepNext/>
              <w:jc w:val="center"/>
              <w:rPr>
                <w:sz w:val="18"/>
                <w:szCs w:val="18"/>
              </w:rPr>
            </w:pPr>
            <w:r w:rsidRPr="00A045AB">
              <w:rPr>
                <w:sz w:val="18"/>
                <w:szCs w:val="18"/>
              </w:rPr>
              <w:t>33</w:t>
            </w:r>
            <w:r w:rsidR="00A045AB">
              <w:rPr>
                <w:sz w:val="18"/>
                <w:szCs w:val="18"/>
              </w:rPr>
              <w:t xml:space="preserve"> </w:t>
            </w:r>
            <w:r w:rsidRPr="00A045AB">
              <w:rPr>
                <w:sz w:val="18"/>
                <w:szCs w:val="18"/>
              </w:rPr>
              <w:t>742</w:t>
            </w:r>
          </w:p>
        </w:tc>
      </w:tr>
    </w:tbl>
    <w:p w:rsidR="006B6BB3" w:rsidRDefault="006B6BB3" w:rsidP="009638B8">
      <w:pPr>
        <w:pStyle w:val="Tabulka"/>
        <w:rPr>
          <w:noProof/>
        </w:rPr>
      </w:pPr>
      <w:bookmarkStart w:id="62" w:name="_Toc469908904"/>
      <w:r>
        <w:t xml:space="preserve">Tab. </w:t>
      </w:r>
      <w:r w:rsidR="005D1BD9">
        <w:fldChar w:fldCharType="begin"/>
      </w:r>
      <w:r w:rsidR="005D1BD9">
        <w:instrText xml:space="preserve"> SEQ Tab. \* ARABIC </w:instrText>
      </w:r>
      <w:r w:rsidR="005D1BD9">
        <w:fldChar w:fldCharType="separate"/>
      </w:r>
      <w:r w:rsidR="003A35BB">
        <w:rPr>
          <w:noProof/>
        </w:rPr>
        <w:t>30</w:t>
      </w:r>
      <w:r w:rsidR="005D1BD9">
        <w:rPr>
          <w:noProof/>
        </w:rPr>
        <w:fldChar w:fldCharType="end"/>
      </w:r>
      <w:r w:rsidR="00A61103">
        <w:rPr>
          <w:noProof/>
        </w:rPr>
        <w:t xml:space="preserve"> Předpokládaný vývoj počtu obyvatel SO ORP Hranice do roku 2050</w:t>
      </w:r>
      <w:bookmarkEnd w:id="62"/>
    </w:p>
    <w:p w:rsidR="00F7590B" w:rsidRDefault="00F7590B" w:rsidP="00F7590B"/>
    <w:p w:rsidR="00F7590B" w:rsidRDefault="00F7590B" w:rsidP="00F7590B"/>
    <w:p w:rsidR="00C7303A" w:rsidRDefault="00C7303A">
      <w:pPr>
        <w:spacing w:before="0" w:after="0"/>
        <w:jc w:val="left"/>
      </w:pPr>
      <w:r>
        <w:br w:type="page"/>
      </w:r>
    </w:p>
    <w:p w:rsidR="00FA45B8" w:rsidRPr="00FA45B8" w:rsidRDefault="00D721AE" w:rsidP="00D721AE">
      <w:pPr>
        <w:pStyle w:val="Nadpis1"/>
      </w:pPr>
      <w:bookmarkStart w:id="63" w:name="_Toc469989359"/>
      <w:r>
        <w:lastRenderedPageBreak/>
        <w:t>Počet obyvatel v obcích Olomouckého kraje</w:t>
      </w:r>
      <w:bookmarkEnd w:id="63"/>
    </w:p>
    <w:p w:rsidR="00FA45B8" w:rsidRPr="00877244" w:rsidRDefault="00FA45B8" w:rsidP="00FA45B8">
      <w:r>
        <w:t>V Olomouckém kraji se nachází 401 měst a obcí. Největším městem je krajské město Olomouc, které mělo k 31. 12. 2015 100 154 obyvatel. Dalšími významnými městy s počtem obyvatel nad 10 tis. jsou Přerov (43 994 obyvatel k 31. 12. 2015), Prostějov (43 977), Šumperk (26 478), Hranice (18 407), Zábřeh (13 792), Šternberk (13 551), Uničov (11 579) a Jeseník (11 471). V městech nad 10 tis. obyvatel žije 44,6 % z celkového počtu obyvatel kraje. Města s počtem mezi 5 – 10 tis. obyvatel jsou Litovel (9 879), Mohelnice (9 245), Lipník nad Bečvou (8 179) a Kojetín (6 176). Měst a obcí s počtem obyvatel mezi 1 – 5 tis. se na území Olomouckého kraje nachází 105.</w:t>
      </w:r>
      <w:r w:rsidR="0040577F">
        <w:t xml:space="preserve"> Počet </w:t>
      </w:r>
      <w:r w:rsidR="00877244">
        <w:t xml:space="preserve">obcí podle počtu obyvatel je uveden v </w:t>
      </w:r>
      <w:r w:rsidR="00877244" w:rsidRPr="00877244">
        <w:rPr>
          <w:i/>
        </w:rPr>
        <w:t>Tab. 31 Počet obcí v Olomouckém kraji podle počtu obyvatel</w:t>
      </w:r>
      <w:r w:rsidR="00877244">
        <w:t xml:space="preserve">. Z tabulky je patrný nárůst celkového počtu obcí v Olomouckém kraji. To je způsobeno jak změnami administrativního členění (od 1. 1. 2005 byly nově z Moravskoslezského kraje připojeny město Moravská Beroun a obce Huzová a Norberčany) tak osamostatňováním místních částí větších obcí. K tomuto docházelo především v 90. </w:t>
      </w:r>
      <w:r w:rsidR="00C566A1">
        <w:t>letech 20. stol.</w:t>
      </w:r>
    </w:p>
    <w:tbl>
      <w:tblPr>
        <w:tblStyle w:val="Mkatabulky"/>
        <w:tblW w:w="5000" w:type="pct"/>
        <w:tblLook w:val="04A0" w:firstRow="1" w:lastRow="0" w:firstColumn="1" w:lastColumn="0" w:noHBand="0" w:noVBand="1"/>
      </w:tblPr>
      <w:tblGrid>
        <w:gridCol w:w="2626"/>
        <w:gridCol w:w="1666"/>
        <w:gridCol w:w="1666"/>
        <w:gridCol w:w="1666"/>
        <w:gridCol w:w="1664"/>
      </w:tblGrid>
      <w:tr w:rsidR="008827DB" w:rsidTr="008827DB">
        <w:tc>
          <w:tcPr>
            <w:tcW w:w="1413" w:type="pct"/>
            <w:tcBorders>
              <w:top w:val="double" w:sz="4" w:space="0" w:color="auto"/>
              <w:left w:val="double" w:sz="4" w:space="0" w:color="auto"/>
            </w:tcBorders>
            <w:shd w:val="clear" w:color="auto" w:fill="BCD9DE" w:themeFill="accent5" w:themeFillTint="66"/>
            <w:vAlign w:val="center"/>
          </w:tcPr>
          <w:p w:rsidR="008827DB" w:rsidRDefault="008827DB" w:rsidP="004903E2">
            <w:pPr>
              <w:jc w:val="center"/>
            </w:pPr>
            <w:r>
              <w:rPr>
                <w:b/>
                <w:sz w:val="18"/>
              </w:rPr>
              <w:t>POČET OBYVATEL</w:t>
            </w:r>
          </w:p>
        </w:tc>
        <w:tc>
          <w:tcPr>
            <w:tcW w:w="897" w:type="pct"/>
            <w:tcBorders>
              <w:top w:val="double" w:sz="4" w:space="0" w:color="auto"/>
            </w:tcBorders>
            <w:shd w:val="clear" w:color="auto" w:fill="BCD9DE" w:themeFill="accent5" w:themeFillTint="66"/>
            <w:vAlign w:val="center"/>
          </w:tcPr>
          <w:p w:rsidR="008827DB" w:rsidRPr="0047799D" w:rsidRDefault="008827DB" w:rsidP="004903E2">
            <w:pPr>
              <w:jc w:val="center"/>
              <w:rPr>
                <w:b/>
                <w:sz w:val="18"/>
              </w:rPr>
            </w:pPr>
            <w:r>
              <w:rPr>
                <w:b/>
                <w:sz w:val="18"/>
              </w:rPr>
              <w:t>1991</w:t>
            </w:r>
          </w:p>
        </w:tc>
        <w:tc>
          <w:tcPr>
            <w:tcW w:w="897" w:type="pct"/>
            <w:tcBorders>
              <w:top w:val="double" w:sz="4" w:space="0" w:color="auto"/>
            </w:tcBorders>
            <w:shd w:val="clear" w:color="auto" w:fill="BCD9DE" w:themeFill="accent5" w:themeFillTint="66"/>
          </w:tcPr>
          <w:p w:rsidR="008827DB" w:rsidRPr="0047799D" w:rsidRDefault="008827DB" w:rsidP="004903E2">
            <w:pPr>
              <w:jc w:val="center"/>
              <w:rPr>
                <w:b/>
                <w:sz w:val="18"/>
              </w:rPr>
            </w:pPr>
            <w:r>
              <w:rPr>
                <w:b/>
                <w:sz w:val="18"/>
              </w:rPr>
              <w:t>2001</w:t>
            </w:r>
          </w:p>
        </w:tc>
        <w:tc>
          <w:tcPr>
            <w:tcW w:w="897" w:type="pct"/>
            <w:tcBorders>
              <w:top w:val="double" w:sz="4" w:space="0" w:color="auto"/>
              <w:right w:val="single" w:sz="4" w:space="0" w:color="auto"/>
            </w:tcBorders>
            <w:shd w:val="clear" w:color="auto" w:fill="BCD9DE" w:themeFill="accent5" w:themeFillTint="66"/>
            <w:vAlign w:val="center"/>
          </w:tcPr>
          <w:p w:rsidR="008827DB" w:rsidRPr="0047799D" w:rsidRDefault="008827DB" w:rsidP="004903E2">
            <w:pPr>
              <w:jc w:val="center"/>
              <w:rPr>
                <w:b/>
                <w:sz w:val="18"/>
              </w:rPr>
            </w:pPr>
            <w:r>
              <w:rPr>
                <w:b/>
                <w:sz w:val="18"/>
              </w:rPr>
              <w:t>2011</w:t>
            </w:r>
          </w:p>
        </w:tc>
        <w:tc>
          <w:tcPr>
            <w:tcW w:w="897" w:type="pct"/>
            <w:tcBorders>
              <w:top w:val="double" w:sz="4" w:space="0" w:color="auto"/>
              <w:left w:val="single" w:sz="4" w:space="0" w:color="auto"/>
              <w:right w:val="double" w:sz="4" w:space="0" w:color="auto"/>
            </w:tcBorders>
            <w:shd w:val="clear" w:color="auto" w:fill="BCD9DE" w:themeFill="accent5" w:themeFillTint="66"/>
          </w:tcPr>
          <w:p w:rsidR="008827DB" w:rsidRPr="0047799D" w:rsidRDefault="008827DB" w:rsidP="004903E2">
            <w:pPr>
              <w:jc w:val="center"/>
              <w:rPr>
                <w:b/>
                <w:sz w:val="18"/>
              </w:rPr>
            </w:pPr>
            <w:r>
              <w:rPr>
                <w:b/>
                <w:sz w:val="18"/>
              </w:rPr>
              <w:t>2015</w:t>
            </w:r>
          </w:p>
        </w:tc>
      </w:tr>
      <w:tr w:rsidR="008827DB" w:rsidTr="008827DB">
        <w:tc>
          <w:tcPr>
            <w:tcW w:w="1413" w:type="pct"/>
            <w:tcBorders>
              <w:left w:val="double" w:sz="4" w:space="0" w:color="auto"/>
            </w:tcBorders>
            <w:shd w:val="clear" w:color="auto" w:fill="BCD9DE" w:themeFill="accent5" w:themeFillTint="66"/>
            <w:vAlign w:val="center"/>
          </w:tcPr>
          <w:p w:rsidR="008827DB" w:rsidRPr="004E092F" w:rsidRDefault="008827DB" w:rsidP="004903E2">
            <w:pPr>
              <w:pStyle w:val="Bezmezer"/>
              <w:jc w:val="center"/>
              <w:rPr>
                <w:b/>
                <w:sz w:val="18"/>
              </w:rPr>
            </w:pPr>
            <w:r w:rsidRPr="004903E2">
              <w:rPr>
                <w:b/>
                <w:sz w:val="18"/>
              </w:rPr>
              <w:t>&gt;</w:t>
            </w:r>
            <w:r>
              <w:rPr>
                <w:b/>
                <w:sz w:val="18"/>
              </w:rPr>
              <w:t xml:space="preserve"> </w:t>
            </w:r>
            <w:r w:rsidRPr="004903E2">
              <w:rPr>
                <w:b/>
                <w:sz w:val="18"/>
              </w:rPr>
              <w:t>50 000</w:t>
            </w:r>
          </w:p>
        </w:tc>
        <w:tc>
          <w:tcPr>
            <w:tcW w:w="897" w:type="pct"/>
            <w:vAlign w:val="center"/>
          </w:tcPr>
          <w:p w:rsidR="008827DB" w:rsidRPr="00A045AB" w:rsidRDefault="0040577F" w:rsidP="004903E2">
            <w:pPr>
              <w:jc w:val="center"/>
              <w:rPr>
                <w:sz w:val="18"/>
                <w:szCs w:val="18"/>
              </w:rPr>
            </w:pPr>
            <w:r>
              <w:rPr>
                <w:sz w:val="18"/>
                <w:szCs w:val="18"/>
              </w:rPr>
              <w:t>3</w:t>
            </w:r>
          </w:p>
        </w:tc>
        <w:tc>
          <w:tcPr>
            <w:tcW w:w="897" w:type="pct"/>
          </w:tcPr>
          <w:p w:rsidR="008827DB" w:rsidRPr="00A045AB" w:rsidRDefault="0040577F" w:rsidP="004903E2">
            <w:pPr>
              <w:jc w:val="center"/>
              <w:rPr>
                <w:sz w:val="18"/>
                <w:szCs w:val="18"/>
              </w:rPr>
            </w:pPr>
            <w:r>
              <w:rPr>
                <w:sz w:val="18"/>
                <w:szCs w:val="18"/>
              </w:rPr>
              <w:t>1</w:t>
            </w:r>
          </w:p>
        </w:tc>
        <w:tc>
          <w:tcPr>
            <w:tcW w:w="897" w:type="pct"/>
            <w:tcBorders>
              <w:right w:val="single" w:sz="4" w:space="0" w:color="auto"/>
            </w:tcBorders>
            <w:vAlign w:val="center"/>
          </w:tcPr>
          <w:p w:rsidR="008827DB" w:rsidRPr="00A045AB" w:rsidRDefault="0040577F" w:rsidP="004903E2">
            <w:pPr>
              <w:jc w:val="center"/>
              <w:rPr>
                <w:sz w:val="18"/>
                <w:szCs w:val="18"/>
              </w:rPr>
            </w:pPr>
            <w:r>
              <w:rPr>
                <w:sz w:val="18"/>
                <w:szCs w:val="18"/>
              </w:rPr>
              <w:t>1</w:t>
            </w:r>
          </w:p>
        </w:tc>
        <w:tc>
          <w:tcPr>
            <w:tcW w:w="897" w:type="pct"/>
            <w:tcBorders>
              <w:left w:val="single" w:sz="4" w:space="0" w:color="auto"/>
              <w:right w:val="double" w:sz="4" w:space="0" w:color="auto"/>
            </w:tcBorders>
          </w:tcPr>
          <w:p w:rsidR="008827DB" w:rsidRPr="00A045AB" w:rsidRDefault="008827DB" w:rsidP="006B6BB3">
            <w:pPr>
              <w:keepNext/>
              <w:jc w:val="center"/>
              <w:rPr>
                <w:sz w:val="18"/>
                <w:szCs w:val="18"/>
              </w:rPr>
            </w:pPr>
            <w:r>
              <w:rPr>
                <w:sz w:val="18"/>
                <w:szCs w:val="18"/>
              </w:rPr>
              <w:t>1</w:t>
            </w:r>
          </w:p>
        </w:tc>
      </w:tr>
      <w:tr w:rsidR="008827DB" w:rsidTr="008827DB">
        <w:tc>
          <w:tcPr>
            <w:tcW w:w="1413" w:type="pct"/>
            <w:tcBorders>
              <w:left w:val="double" w:sz="4" w:space="0" w:color="auto"/>
            </w:tcBorders>
            <w:shd w:val="clear" w:color="auto" w:fill="BCD9DE" w:themeFill="accent5" w:themeFillTint="66"/>
            <w:vAlign w:val="center"/>
          </w:tcPr>
          <w:p w:rsidR="008827DB" w:rsidRDefault="008827DB" w:rsidP="004903E2">
            <w:pPr>
              <w:pStyle w:val="Bezmezer"/>
              <w:jc w:val="center"/>
              <w:rPr>
                <w:b/>
                <w:sz w:val="18"/>
              </w:rPr>
            </w:pPr>
            <w:r>
              <w:rPr>
                <w:b/>
                <w:sz w:val="18"/>
              </w:rPr>
              <w:t>10 000 – 50 000</w:t>
            </w:r>
          </w:p>
        </w:tc>
        <w:tc>
          <w:tcPr>
            <w:tcW w:w="897" w:type="pct"/>
            <w:vAlign w:val="center"/>
          </w:tcPr>
          <w:p w:rsidR="008827DB" w:rsidRDefault="0040577F" w:rsidP="004903E2">
            <w:pPr>
              <w:jc w:val="center"/>
              <w:rPr>
                <w:sz w:val="18"/>
                <w:szCs w:val="18"/>
              </w:rPr>
            </w:pPr>
            <w:r>
              <w:rPr>
                <w:sz w:val="18"/>
                <w:szCs w:val="18"/>
              </w:rPr>
              <w:t>8</w:t>
            </w:r>
          </w:p>
        </w:tc>
        <w:tc>
          <w:tcPr>
            <w:tcW w:w="897" w:type="pct"/>
          </w:tcPr>
          <w:p w:rsidR="008827DB" w:rsidRDefault="0040577F" w:rsidP="004903E2">
            <w:pPr>
              <w:jc w:val="center"/>
              <w:rPr>
                <w:sz w:val="18"/>
                <w:szCs w:val="18"/>
              </w:rPr>
            </w:pPr>
            <w:r>
              <w:rPr>
                <w:sz w:val="18"/>
                <w:szCs w:val="18"/>
              </w:rPr>
              <w:t>9</w:t>
            </w:r>
          </w:p>
        </w:tc>
        <w:tc>
          <w:tcPr>
            <w:tcW w:w="897" w:type="pct"/>
            <w:tcBorders>
              <w:right w:val="single" w:sz="4" w:space="0" w:color="auto"/>
            </w:tcBorders>
            <w:vAlign w:val="center"/>
          </w:tcPr>
          <w:p w:rsidR="008827DB" w:rsidRDefault="0040577F" w:rsidP="004903E2">
            <w:pPr>
              <w:jc w:val="center"/>
              <w:rPr>
                <w:sz w:val="18"/>
                <w:szCs w:val="18"/>
              </w:rPr>
            </w:pPr>
            <w:r>
              <w:rPr>
                <w:sz w:val="18"/>
                <w:szCs w:val="18"/>
              </w:rPr>
              <w:t>8</w:t>
            </w:r>
          </w:p>
        </w:tc>
        <w:tc>
          <w:tcPr>
            <w:tcW w:w="897" w:type="pct"/>
            <w:tcBorders>
              <w:left w:val="single" w:sz="4" w:space="0" w:color="auto"/>
              <w:right w:val="double" w:sz="4" w:space="0" w:color="auto"/>
            </w:tcBorders>
          </w:tcPr>
          <w:p w:rsidR="008827DB" w:rsidRDefault="008827DB" w:rsidP="006B6BB3">
            <w:pPr>
              <w:keepNext/>
              <w:jc w:val="center"/>
              <w:rPr>
                <w:sz w:val="18"/>
                <w:szCs w:val="18"/>
              </w:rPr>
            </w:pPr>
            <w:r>
              <w:rPr>
                <w:sz w:val="18"/>
                <w:szCs w:val="18"/>
              </w:rPr>
              <w:t>8</w:t>
            </w:r>
          </w:p>
        </w:tc>
      </w:tr>
      <w:tr w:rsidR="008827DB" w:rsidTr="008827DB">
        <w:tc>
          <w:tcPr>
            <w:tcW w:w="1413" w:type="pct"/>
            <w:tcBorders>
              <w:left w:val="double" w:sz="4" w:space="0" w:color="auto"/>
            </w:tcBorders>
            <w:shd w:val="clear" w:color="auto" w:fill="BCD9DE" w:themeFill="accent5" w:themeFillTint="66"/>
            <w:vAlign w:val="center"/>
          </w:tcPr>
          <w:p w:rsidR="008827DB" w:rsidRDefault="008827DB" w:rsidP="004903E2">
            <w:pPr>
              <w:pStyle w:val="Bezmezer"/>
              <w:jc w:val="center"/>
              <w:rPr>
                <w:b/>
                <w:sz w:val="18"/>
              </w:rPr>
            </w:pPr>
            <w:r>
              <w:rPr>
                <w:b/>
                <w:sz w:val="18"/>
              </w:rPr>
              <w:t>5 000 – 10 000</w:t>
            </w:r>
          </w:p>
        </w:tc>
        <w:tc>
          <w:tcPr>
            <w:tcW w:w="897" w:type="pct"/>
            <w:vAlign w:val="center"/>
          </w:tcPr>
          <w:p w:rsidR="008827DB" w:rsidRDefault="0040577F" w:rsidP="004903E2">
            <w:pPr>
              <w:jc w:val="center"/>
              <w:rPr>
                <w:sz w:val="18"/>
                <w:szCs w:val="18"/>
              </w:rPr>
            </w:pPr>
            <w:r>
              <w:rPr>
                <w:sz w:val="18"/>
                <w:szCs w:val="18"/>
              </w:rPr>
              <w:t>2</w:t>
            </w:r>
          </w:p>
        </w:tc>
        <w:tc>
          <w:tcPr>
            <w:tcW w:w="897" w:type="pct"/>
          </w:tcPr>
          <w:p w:rsidR="008827DB" w:rsidRDefault="0040577F" w:rsidP="004903E2">
            <w:pPr>
              <w:jc w:val="center"/>
              <w:rPr>
                <w:sz w:val="18"/>
                <w:szCs w:val="18"/>
              </w:rPr>
            </w:pPr>
            <w:r>
              <w:rPr>
                <w:sz w:val="18"/>
                <w:szCs w:val="18"/>
              </w:rPr>
              <w:t>3</w:t>
            </w:r>
          </w:p>
        </w:tc>
        <w:tc>
          <w:tcPr>
            <w:tcW w:w="897" w:type="pct"/>
            <w:tcBorders>
              <w:right w:val="single" w:sz="4" w:space="0" w:color="auto"/>
            </w:tcBorders>
            <w:vAlign w:val="center"/>
          </w:tcPr>
          <w:p w:rsidR="008827DB" w:rsidRDefault="0040577F" w:rsidP="004903E2">
            <w:pPr>
              <w:jc w:val="center"/>
              <w:rPr>
                <w:sz w:val="18"/>
                <w:szCs w:val="18"/>
              </w:rPr>
            </w:pPr>
            <w:r>
              <w:rPr>
                <w:sz w:val="18"/>
                <w:szCs w:val="18"/>
              </w:rPr>
              <w:t>4</w:t>
            </w:r>
          </w:p>
        </w:tc>
        <w:tc>
          <w:tcPr>
            <w:tcW w:w="897" w:type="pct"/>
            <w:tcBorders>
              <w:left w:val="single" w:sz="4" w:space="0" w:color="auto"/>
              <w:right w:val="double" w:sz="4" w:space="0" w:color="auto"/>
            </w:tcBorders>
          </w:tcPr>
          <w:p w:rsidR="008827DB" w:rsidRDefault="008827DB" w:rsidP="006B6BB3">
            <w:pPr>
              <w:keepNext/>
              <w:jc w:val="center"/>
              <w:rPr>
                <w:sz w:val="18"/>
                <w:szCs w:val="18"/>
              </w:rPr>
            </w:pPr>
            <w:r>
              <w:rPr>
                <w:sz w:val="18"/>
                <w:szCs w:val="18"/>
              </w:rPr>
              <w:t>4</w:t>
            </w:r>
          </w:p>
        </w:tc>
      </w:tr>
      <w:tr w:rsidR="008827DB" w:rsidTr="008827DB">
        <w:tc>
          <w:tcPr>
            <w:tcW w:w="1413" w:type="pct"/>
            <w:tcBorders>
              <w:left w:val="double" w:sz="4" w:space="0" w:color="auto"/>
            </w:tcBorders>
            <w:shd w:val="clear" w:color="auto" w:fill="BCD9DE" w:themeFill="accent5" w:themeFillTint="66"/>
            <w:vAlign w:val="center"/>
          </w:tcPr>
          <w:p w:rsidR="008827DB" w:rsidRDefault="008827DB" w:rsidP="004903E2">
            <w:pPr>
              <w:pStyle w:val="Bezmezer"/>
              <w:jc w:val="center"/>
              <w:rPr>
                <w:b/>
                <w:sz w:val="18"/>
              </w:rPr>
            </w:pPr>
            <w:r>
              <w:rPr>
                <w:b/>
                <w:sz w:val="18"/>
              </w:rPr>
              <w:t>1 000 – 5 000</w:t>
            </w:r>
          </w:p>
        </w:tc>
        <w:tc>
          <w:tcPr>
            <w:tcW w:w="897" w:type="pct"/>
            <w:vAlign w:val="center"/>
          </w:tcPr>
          <w:p w:rsidR="008827DB" w:rsidRDefault="0040577F" w:rsidP="004903E2">
            <w:pPr>
              <w:jc w:val="center"/>
              <w:rPr>
                <w:sz w:val="18"/>
                <w:szCs w:val="18"/>
              </w:rPr>
            </w:pPr>
            <w:r>
              <w:rPr>
                <w:sz w:val="18"/>
                <w:szCs w:val="18"/>
              </w:rPr>
              <w:t>101</w:t>
            </w:r>
          </w:p>
        </w:tc>
        <w:tc>
          <w:tcPr>
            <w:tcW w:w="897" w:type="pct"/>
          </w:tcPr>
          <w:p w:rsidR="008827DB" w:rsidRDefault="0040577F" w:rsidP="004903E2">
            <w:pPr>
              <w:jc w:val="center"/>
              <w:rPr>
                <w:sz w:val="18"/>
                <w:szCs w:val="18"/>
              </w:rPr>
            </w:pPr>
            <w:r>
              <w:rPr>
                <w:sz w:val="18"/>
                <w:szCs w:val="18"/>
              </w:rPr>
              <w:t>105</w:t>
            </w:r>
          </w:p>
        </w:tc>
        <w:tc>
          <w:tcPr>
            <w:tcW w:w="897" w:type="pct"/>
            <w:tcBorders>
              <w:right w:val="single" w:sz="4" w:space="0" w:color="auto"/>
            </w:tcBorders>
            <w:vAlign w:val="center"/>
          </w:tcPr>
          <w:p w:rsidR="008827DB" w:rsidRDefault="0040577F" w:rsidP="004903E2">
            <w:pPr>
              <w:jc w:val="center"/>
              <w:rPr>
                <w:sz w:val="18"/>
                <w:szCs w:val="18"/>
              </w:rPr>
            </w:pPr>
            <w:r>
              <w:rPr>
                <w:sz w:val="18"/>
                <w:szCs w:val="18"/>
              </w:rPr>
              <w:t>109</w:t>
            </w:r>
          </w:p>
        </w:tc>
        <w:tc>
          <w:tcPr>
            <w:tcW w:w="897" w:type="pct"/>
            <w:tcBorders>
              <w:left w:val="single" w:sz="4" w:space="0" w:color="auto"/>
              <w:right w:val="double" w:sz="4" w:space="0" w:color="auto"/>
            </w:tcBorders>
          </w:tcPr>
          <w:p w:rsidR="008827DB" w:rsidRDefault="008827DB" w:rsidP="006B6BB3">
            <w:pPr>
              <w:keepNext/>
              <w:jc w:val="center"/>
              <w:rPr>
                <w:sz w:val="18"/>
                <w:szCs w:val="18"/>
              </w:rPr>
            </w:pPr>
            <w:r>
              <w:rPr>
                <w:sz w:val="18"/>
                <w:szCs w:val="18"/>
              </w:rPr>
              <w:t>105</w:t>
            </w:r>
          </w:p>
        </w:tc>
      </w:tr>
      <w:tr w:rsidR="008827DB" w:rsidTr="008827DB">
        <w:tc>
          <w:tcPr>
            <w:tcW w:w="1413" w:type="pct"/>
            <w:tcBorders>
              <w:left w:val="double" w:sz="4" w:space="0" w:color="auto"/>
            </w:tcBorders>
            <w:shd w:val="clear" w:color="auto" w:fill="BCD9DE" w:themeFill="accent5" w:themeFillTint="66"/>
            <w:vAlign w:val="center"/>
          </w:tcPr>
          <w:p w:rsidR="008827DB" w:rsidRDefault="008827DB" w:rsidP="004903E2">
            <w:pPr>
              <w:pStyle w:val="Bezmezer"/>
              <w:jc w:val="center"/>
              <w:rPr>
                <w:b/>
                <w:sz w:val="18"/>
              </w:rPr>
            </w:pPr>
            <w:r>
              <w:rPr>
                <w:b/>
                <w:sz w:val="18"/>
              </w:rPr>
              <w:t>500 – 1 000</w:t>
            </w:r>
          </w:p>
        </w:tc>
        <w:tc>
          <w:tcPr>
            <w:tcW w:w="897" w:type="pct"/>
            <w:vAlign w:val="center"/>
          </w:tcPr>
          <w:p w:rsidR="008827DB" w:rsidRDefault="0040577F" w:rsidP="004903E2">
            <w:pPr>
              <w:jc w:val="center"/>
              <w:rPr>
                <w:sz w:val="18"/>
                <w:szCs w:val="18"/>
              </w:rPr>
            </w:pPr>
            <w:r>
              <w:rPr>
                <w:sz w:val="18"/>
                <w:szCs w:val="18"/>
              </w:rPr>
              <w:t>93</w:t>
            </w:r>
          </w:p>
        </w:tc>
        <w:tc>
          <w:tcPr>
            <w:tcW w:w="897" w:type="pct"/>
          </w:tcPr>
          <w:p w:rsidR="008827DB" w:rsidRDefault="0040577F" w:rsidP="004903E2">
            <w:pPr>
              <w:jc w:val="center"/>
              <w:rPr>
                <w:sz w:val="18"/>
                <w:szCs w:val="18"/>
              </w:rPr>
            </w:pPr>
            <w:r>
              <w:rPr>
                <w:sz w:val="18"/>
                <w:szCs w:val="18"/>
              </w:rPr>
              <w:t>96</w:t>
            </w:r>
          </w:p>
        </w:tc>
        <w:tc>
          <w:tcPr>
            <w:tcW w:w="897" w:type="pct"/>
            <w:tcBorders>
              <w:right w:val="single" w:sz="4" w:space="0" w:color="auto"/>
            </w:tcBorders>
            <w:vAlign w:val="center"/>
          </w:tcPr>
          <w:p w:rsidR="008827DB" w:rsidRDefault="0040577F" w:rsidP="004903E2">
            <w:pPr>
              <w:jc w:val="center"/>
              <w:rPr>
                <w:sz w:val="18"/>
                <w:szCs w:val="18"/>
              </w:rPr>
            </w:pPr>
            <w:r>
              <w:rPr>
                <w:sz w:val="18"/>
                <w:szCs w:val="18"/>
              </w:rPr>
              <w:t>112</w:t>
            </w:r>
          </w:p>
        </w:tc>
        <w:tc>
          <w:tcPr>
            <w:tcW w:w="897" w:type="pct"/>
            <w:tcBorders>
              <w:left w:val="single" w:sz="4" w:space="0" w:color="auto"/>
              <w:right w:val="double" w:sz="4" w:space="0" w:color="auto"/>
            </w:tcBorders>
          </w:tcPr>
          <w:p w:rsidR="008827DB" w:rsidRDefault="008827DB" w:rsidP="006B6BB3">
            <w:pPr>
              <w:keepNext/>
              <w:jc w:val="center"/>
              <w:rPr>
                <w:sz w:val="18"/>
                <w:szCs w:val="18"/>
              </w:rPr>
            </w:pPr>
            <w:r>
              <w:rPr>
                <w:sz w:val="18"/>
                <w:szCs w:val="18"/>
              </w:rPr>
              <w:t>112</w:t>
            </w:r>
          </w:p>
        </w:tc>
      </w:tr>
      <w:tr w:rsidR="008827DB" w:rsidTr="0040577F">
        <w:tc>
          <w:tcPr>
            <w:tcW w:w="1413" w:type="pct"/>
            <w:tcBorders>
              <w:left w:val="double" w:sz="4" w:space="0" w:color="auto"/>
            </w:tcBorders>
            <w:shd w:val="clear" w:color="auto" w:fill="BCD9DE" w:themeFill="accent5" w:themeFillTint="66"/>
            <w:vAlign w:val="center"/>
          </w:tcPr>
          <w:p w:rsidR="008827DB" w:rsidRDefault="008827DB" w:rsidP="004903E2">
            <w:pPr>
              <w:pStyle w:val="Bezmezer"/>
              <w:jc w:val="center"/>
              <w:rPr>
                <w:b/>
                <w:sz w:val="18"/>
              </w:rPr>
            </w:pPr>
            <w:r>
              <w:rPr>
                <w:b/>
                <w:sz w:val="18"/>
              </w:rPr>
              <w:t>&lt; 500</w:t>
            </w:r>
          </w:p>
        </w:tc>
        <w:tc>
          <w:tcPr>
            <w:tcW w:w="897" w:type="pct"/>
            <w:vAlign w:val="center"/>
          </w:tcPr>
          <w:p w:rsidR="008827DB" w:rsidRDefault="0040577F" w:rsidP="004903E2">
            <w:pPr>
              <w:jc w:val="center"/>
              <w:rPr>
                <w:sz w:val="18"/>
                <w:szCs w:val="18"/>
              </w:rPr>
            </w:pPr>
            <w:r>
              <w:rPr>
                <w:sz w:val="18"/>
                <w:szCs w:val="18"/>
              </w:rPr>
              <w:t>165</w:t>
            </w:r>
          </w:p>
        </w:tc>
        <w:tc>
          <w:tcPr>
            <w:tcW w:w="897" w:type="pct"/>
          </w:tcPr>
          <w:p w:rsidR="008827DB" w:rsidRDefault="0040577F" w:rsidP="004903E2">
            <w:pPr>
              <w:jc w:val="center"/>
              <w:rPr>
                <w:sz w:val="18"/>
                <w:szCs w:val="18"/>
              </w:rPr>
            </w:pPr>
            <w:r>
              <w:rPr>
                <w:sz w:val="18"/>
                <w:szCs w:val="18"/>
              </w:rPr>
              <w:t>183</w:t>
            </w:r>
          </w:p>
        </w:tc>
        <w:tc>
          <w:tcPr>
            <w:tcW w:w="897" w:type="pct"/>
            <w:tcBorders>
              <w:right w:val="single" w:sz="4" w:space="0" w:color="auto"/>
            </w:tcBorders>
            <w:vAlign w:val="center"/>
          </w:tcPr>
          <w:p w:rsidR="008827DB" w:rsidRDefault="0040577F" w:rsidP="004903E2">
            <w:pPr>
              <w:jc w:val="center"/>
              <w:rPr>
                <w:sz w:val="18"/>
                <w:szCs w:val="18"/>
              </w:rPr>
            </w:pPr>
            <w:r>
              <w:rPr>
                <w:sz w:val="18"/>
                <w:szCs w:val="18"/>
              </w:rPr>
              <w:t>165</w:t>
            </w:r>
          </w:p>
        </w:tc>
        <w:tc>
          <w:tcPr>
            <w:tcW w:w="897" w:type="pct"/>
            <w:tcBorders>
              <w:left w:val="single" w:sz="4" w:space="0" w:color="auto"/>
              <w:right w:val="double" w:sz="4" w:space="0" w:color="auto"/>
            </w:tcBorders>
          </w:tcPr>
          <w:p w:rsidR="008827DB" w:rsidRDefault="008827DB" w:rsidP="006B6BB3">
            <w:pPr>
              <w:keepNext/>
              <w:jc w:val="center"/>
              <w:rPr>
                <w:sz w:val="18"/>
                <w:szCs w:val="18"/>
              </w:rPr>
            </w:pPr>
            <w:r>
              <w:rPr>
                <w:sz w:val="18"/>
                <w:szCs w:val="18"/>
              </w:rPr>
              <w:t>171</w:t>
            </w:r>
          </w:p>
        </w:tc>
      </w:tr>
      <w:tr w:rsidR="0040577F" w:rsidTr="008827DB">
        <w:tc>
          <w:tcPr>
            <w:tcW w:w="1413" w:type="pct"/>
            <w:tcBorders>
              <w:left w:val="double" w:sz="4" w:space="0" w:color="auto"/>
              <w:bottom w:val="double" w:sz="4" w:space="0" w:color="auto"/>
            </w:tcBorders>
            <w:shd w:val="clear" w:color="auto" w:fill="BCD9DE" w:themeFill="accent5" w:themeFillTint="66"/>
            <w:vAlign w:val="center"/>
          </w:tcPr>
          <w:p w:rsidR="0040577F" w:rsidRPr="0040577F" w:rsidRDefault="0040577F" w:rsidP="004903E2">
            <w:pPr>
              <w:pStyle w:val="Bezmezer"/>
              <w:jc w:val="center"/>
              <w:rPr>
                <w:sz w:val="18"/>
              </w:rPr>
            </w:pPr>
            <w:r>
              <w:rPr>
                <w:b/>
                <w:sz w:val="18"/>
              </w:rPr>
              <w:t>CELKEM OBCÍ</w:t>
            </w:r>
          </w:p>
        </w:tc>
        <w:tc>
          <w:tcPr>
            <w:tcW w:w="897" w:type="pct"/>
            <w:tcBorders>
              <w:bottom w:val="double" w:sz="4" w:space="0" w:color="auto"/>
            </w:tcBorders>
            <w:vAlign w:val="center"/>
          </w:tcPr>
          <w:p w:rsidR="0040577F" w:rsidRDefault="0040577F" w:rsidP="004903E2">
            <w:pPr>
              <w:jc w:val="center"/>
              <w:rPr>
                <w:sz w:val="18"/>
                <w:szCs w:val="18"/>
              </w:rPr>
            </w:pPr>
            <w:r>
              <w:rPr>
                <w:sz w:val="18"/>
                <w:szCs w:val="18"/>
              </w:rPr>
              <w:t>372</w:t>
            </w:r>
          </w:p>
        </w:tc>
        <w:tc>
          <w:tcPr>
            <w:tcW w:w="897" w:type="pct"/>
            <w:tcBorders>
              <w:bottom w:val="double" w:sz="4" w:space="0" w:color="auto"/>
            </w:tcBorders>
          </w:tcPr>
          <w:p w:rsidR="0040577F" w:rsidRDefault="0040577F" w:rsidP="004903E2">
            <w:pPr>
              <w:jc w:val="center"/>
              <w:rPr>
                <w:sz w:val="18"/>
                <w:szCs w:val="18"/>
              </w:rPr>
            </w:pPr>
            <w:r>
              <w:rPr>
                <w:sz w:val="18"/>
                <w:szCs w:val="18"/>
              </w:rPr>
              <w:t>397</w:t>
            </w:r>
          </w:p>
        </w:tc>
        <w:tc>
          <w:tcPr>
            <w:tcW w:w="897" w:type="pct"/>
            <w:tcBorders>
              <w:bottom w:val="double" w:sz="4" w:space="0" w:color="auto"/>
              <w:right w:val="single" w:sz="4" w:space="0" w:color="auto"/>
            </w:tcBorders>
            <w:vAlign w:val="center"/>
          </w:tcPr>
          <w:p w:rsidR="0040577F" w:rsidRDefault="0040577F" w:rsidP="004903E2">
            <w:pPr>
              <w:jc w:val="center"/>
              <w:rPr>
                <w:sz w:val="18"/>
                <w:szCs w:val="18"/>
              </w:rPr>
            </w:pPr>
            <w:r>
              <w:rPr>
                <w:sz w:val="18"/>
                <w:szCs w:val="18"/>
              </w:rPr>
              <w:t>399</w:t>
            </w:r>
          </w:p>
        </w:tc>
        <w:tc>
          <w:tcPr>
            <w:tcW w:w="897" w:type="pct"/>
            <w:tcBorders>
              <w:left w:val="single" w:sz="4" w:space="0" w:color="auto"/>
              <w:bottom w:val="double" w:sz="4" w:space="0" w:color="auto"/>
              <w:right w:val="double" w:sz="4" w:space="0" w:color="auto"/>
            </w:tcBorders>
          </w:tcPr>
          <w:p w:rsidR="0040577F" w:rsidRDefault="0040577F" w:rsidP="006B6BB3">
            <w:pPr>
              <w:keepNext/>
              <w:jc w:val="center"/>
              <w:rPr>
                <w:sz w:val="18"/>
                <w:szCs w:val="18"/>
              </w:rPr>
            </w:pPr>
            <w:r>
              <w:rPr>
                <w:sz w:val="18"/>
                <w:szCs w:val="18"/>
              </w:rPr>
              <w:t>401</w:t>
            </w:r>
          </w:p>
        </w:tc>
      </w:tr>
    </w:tbl>
    <w:p w:rsidR="006B6BB3" w:rsidRPr="009638B8" w:rsidRDefault="006B6BB3" w:rsidP="009638B8">
      <w:pPr>
        <w:pStyle w:val="Tabulka"/>
      </w:pPr>
      <w:bookmarkStart w:id="64" w:name="_Toc469908905"/>
      <w:r w:rsidRPr="009638B8">
        <w:t xml:space="preserve">Tab. </w:t>
      </w:r>
      <w:r w:rsidR="005D1BD9">
        <w:fldChar w:fldCharType="begin"/>
      </w:r>
      <w:r w:rsidR="005D1BD9">
        <w:instrText xml:space="preserve"> SEQ Tab. \* ARABIC </w:instrText>
      </w:r>
      <w:r w:rsidR="005D1BD9">
        <w:fldChar w:fldCharType="separate"/>
      </w:r>
      <w:r w:rsidR="003A35BB">
        <w:rPr>
          <w:noProof/>
        </w:rPr>
        <w:t>31</w:t>
      </w:r>
      <w:r w:rsidR="005D1BD9">
        <w:rPr>
          <w:noProof/>
        </w:rPr>
        <w:fldChar w:fldCharType="end"/>
      </w:r>
      <w:r w:rsidR="008827DB">
        <w:rPr>
          <w:noProof/>
        </w:rPr>
        <w:t xml:space="preserve"> Počet obcí v Olomouckém kraji podle počtu obyvatel</w:t>
      </w:r>
      <w:bookmarkEnd w:id="64"/>
    </w:p>
    <w:p w:rsidR="00C7303A" w:rsidRPr="0040577F" w:rsidRDefault="0040577F" w:rsidP="00C7303A">
      <w:r>
        <w:t>Počet obyvatel obcí včetně místních částí je uveden v </w:t>
      </w:r>
      <w:r w:rsidRPr="0040577F">
        <w:rPr>
          <w:i/>
        </w:rPr>
        <w:t>Příloze č. 1</w:t>
      </w:r>
      <w:r>
        <w:t xml:space="preserve"> </w:t>
      </w:r>
      <w:r w:rsidRPr="0040577F">
        <w:rPr>
          <w:i/>
        </w:rPr>
        <w:t>Souhrnná tabulka vývoje a předpokládaného vývoje počtu obyvatel obcí Olomouckého kraje a jejich místních částí</w:t>
      </w:r>
      <w:r>
        <w:t>. Tabulka uvádí dosavadní vývoj počtu obyvatel v letech 1991, 2001, 2011 a 2015 a dále předpokládaný vývoj v letech 2020, 2025, 2030 a 2050.</w:t>
      </w:r>
      <w:r w:rsidR="00FE0566">
        <w:t xml:space="preserve"> Grafické zobrazení vývoje a předpokládaného vývoje počtu obyvatel v obcích na mapě Olomouckého kraje je zobrazeno v </w:t>
      </w:r>
      <w:r w:rsidR="00FE0566" w:rsidRPr="00BF6248">
        <w:rPr>
          <w:i/>
        </w:rPr>
        <w:t>Přílo</w:t>
      </w:r>
      <w:r w:rsidR="00FE0566">
        <w:rPr>
          <w:i/>
        </w:rPr>
        <w:t>ze</w:t>
      </w:r>
      <w:r w:rsidR="00FE0566" w:rsidRPr="00BF6248">
        <w:rPr>
          <w:i/>
        </w:rPr>
        <w:t xml:space="preserve"> </w:t>
      </w:r>
      <w:proofErr w:type="gramStart"/>
      <w:r w:rsidR="00FE0566" w:rsidRPr="00BF6248">
        <w:rPr>
          <w:i/>
        </w:rPr>
        <w:t>č.</w:t>
      </w:r>
      <w:r w:rsidR="00FE0566" w:rsidRPr="007E7044">
        <w:rPr>
          <w:i/>
        </w:rPr>
        <w:t xml:space="preserve"> 2 Mapa</w:t>
      </w:r>
      <w:proofErr w:type="gramEnd"/>
      <w:r w:rsidR="00FE0566" w:rsidRPr="007E7044">
        <w:rPr>
          <w:i/>
        </w:rPr>
        <w:t xml:space="preserve"> vývoje počtu obyvatel Olomouckého kraje mezi lety 2010 – 2015</w:t>
      </w:r>
      <w:r w:rsidR="00FE0566">
        <w:rPr>
          <w:i/>
        </w:rPr>
        <w:t xml:space="preserve"> </w:t>
      </w:r>
      <w:r w:rsidR="00FE0566" w:rsidRPr="00BF6248">
        <w:t>a</w:t>
      </w:r>
      <w:r w:rsidR="00FE0566" w:rsidRPr="00BF6248">
        <w:rPr>
          <w:i/>
        </w:rPr>
        <w:t xml:space="preserve"> </w:t>
      </w:r>
      <w:r w:rsidR="00FE0566" w:rsidRPr="007E7044">
        <w:t>v</w:t>
      </w:r>
      <w:r w:rsidR="00FE0566">
        <w:rPr>
          <w:i/>
        </w:rPr>
        <w:t> Příloze č. 3</w:t>
      </w:r>
      <w:r w:rsidR="00FE0566">
        <w:t xml:space="preserve"> </w:t>
      </w:r>
      <w:r w:rsidR="00FE0566" w:rsidRPr="007E7044">
        <w:rPr>
          <w:i/>
        </w:rPr>
        <w:t>Mapa předpokládaného vývoje počtu obyvatel Olomouckého kraje mezi lety 2015 – 2030</w:t>
      </w:r>
      <w:r w:rsidR="00FE0566">
        <w:rPr>
          <w:i/>
        </w:rPr>
        <w:t>.</w:t>
      </w:r>
    </w:p>
    <w:p w:rsidR="00C7303A" w:rsidRDefault="00C7303A">
      <w:pPr>
        <w:spacing w:before="0" w:after="0"/>
        <w:jc w:val="left"/>
      </w:pPr>
      <w:r>
        <w:br w:type="page"/>
      </w:r>
    </w:p>
    <w:p w:rsidR="00607079" w:rsidRDefault="00296C02" w:rsidP="004522A8">
      <w:pPr>
        <w:pStyle w:val="Nadpis1"/>
      </w:pPr>
      <w:bookmarkStart w:id="65" w:name="_Toc469989360"/>
      <w:r w:rsidRPr="00296C02">
        <w:lastRenderedPageBreak/>
        <w:t>Závěr</w:t>
      </w:r>
      <w:bookmarkEnd w:id="65"/>
    </w:p>
    <w:p w:rsidR="0059501D" w:rsidRDefault="0059501D" w:rsidP="0059501D">
      <w:r w:rsidRPr="00380EF4">
        <w:t xml:space="preserve">Tento Demografický vývoj počtu obyvatel Olomouckého byl zpracován pro potřeby Aktualizace plánu rozvoje vodovodů a kanalizací Olomoucké kraje (Aktualizace PRVKOK). Předpokládaný vývoj počtu obyvatel Olomouckého kraje se dá souhrnně zhodnotit jako </w:t>
      </w:r>
      <w:r>
        <w:t>konstantně</w:t>
      </w:r>
      <w:r w:rsidRPr="00380EF4">
        <w:t xml:space="preserve"> klesající. Tento trend</w:t>
      </w:r>
      <w:r>
        <w:t xml:space="preserve"> je pokračováním stávajícího vývojového stavu, neboť od poloviny 90. let dochází k pravidelnému úbytku obyvatelstva, jak přirozeným vývojem, kdy je počet zemřelých vyšší než počet živě narozených, tak vlivem stěhování, protože počet nově přistěhovaných obyvatel je nižší než počet odstěhovaných. Předpokládá se, že z  geografického hlediska bude vyšší úbytek počtu obyvatel v hornatých oblastech na severu Olomouckého kraje a ve větších městech. Naopak drobný přírůstek počtu obyvatel se předpokládá v příměstských oblastech měst v centrální části kraje. Jde hlavně o oblast Olomoucka, Prostějovska a Přerovska. Z hlediska celkového vývoje však tyto přírůstky nedosahují hodnot úbytků a jedná se především o lokální přesun obyvatel v kraji v rámci správního obvodu, případně v rámci sousedních správních obvodů.</w:t>
      </w:r>
    </w:p>
    <w:p w:rsidR="0059501D" w:rsidRDefault="0059501D" w:rsidP="0059501D">
      <w:r>
        <w:t xml:space="preserve">Podle </w:t>
      </w:r>
      <w:r w:rsidRPr="006E4008">
        <w:rPr>
          <w:b/>
        </w:rPr>
        <w:t>projekce počtu obyvatel</w:t>
      </w:r>
      <w:r>
        <w:t xml:space="preserve"> České republiky zpracované </w:t>
      </w:r>
      <w:r w:rsidRPr="006E4008">
        <w:rPr>
          <w:b/>
        </w:rPr>
        <w:t>Českým statistickým úřadem</w:t>
      </w:r>
      <w:r>
        <w:t xml:space="preserve"> v roce </w:t>
      </w:r>
      <w:r w:rsidRPr="006E4008">
        <w:rPr>
          <w:b/>
        </w:rPr>
        <w:t>2004</w:t>
      </w:r>
      <w:r>
        <w:t xml:space="preserve"> se předpokládá ve střední variantě, že počet obyvatel v Olomouckém kraji klesne </w:t>
      </w:r>
      <w:r w:rsidRPr="006E4008">
        <w:rPr>
          <w:b/>
        </w:rPr>
        <w:t>v roce 2050 na 503 tis</w:t>
      </w:r>
      <w:r>
        <w:t>. Jedná se o předpoklad přirozeného vývoje způsobeného vyšším počtem zemřelých na úkor nižšího počtu živě narozených bez započtení vlivu migrace. S ohledem na dosavadní vývoj každoročního úbytku obyvatel v Olomouckém kraji vlivem vyššího počtu odstěhovaných než přistěhovaných nelze předpokládat, že by vliv migrace mohl úbytek výrazně zvrátit. Naopak by mohlo dojít ještě k výraznějšímu poklesu.</w:t>
      </w:r>
    </w:p>
    <w:p w:rsidR="0059501D" w:rsidRDefault="0059501D" w:rsidP="0059501D">
      <w:r>
        <w:t xml:space="preserve">V roce </w:t>
      </w:r>
      <w:r w:rsidRPr="006E4008">
        <w:rPr>
          <w:b/>
        </w:rPr>
        <w:t>2012</w:t>
      </w:r>
      <w:r>
        <w:t xml:space="preserve"> byla zpracována „</w:t>
      </w:r>
      <w:r w:rsidRPr="006E4008">
        <w:rPr>
          <w:b/>
        </w:rPr>
        <w:t>Studie sídelní struktury Olomouckého kraje</w:t>
      </w:r>
      <w:r>
        <w:t xml:space="preserve">“, kde byla stanovena predikce vývoje počtu obyvatel Olomouckého kraje do roku 2065. Tato studie předpokládá stagnaci, resp. snížení, počtu obyvatel z tehdejších 638 tis. na 637 tis. v roce 2025 až na </w:t>
      </w:r>
      <w:r w:rsidRPr="006E4008">
        <w:rPr>
          <w:b/>
        </w:rPr>
        <w:t>578 tis. v roce 2050</w:t>
      </w:r>
      <w:r>
        <w:t>.</w:t>
      </w:r>
    </w:p>
    <w:p w:rsidR="00281B3D" w:rsidRDefault="0059501D" w:rsidP="0059501D">
      <w:r>
        <w:t xml:space="preserve">Podle metody, kterou byl zpracovaný tento </w:t>
      </w:r>
      <w:r w:rsidRPr="006E4008">
        <w:rPr>
          <w:b/>
        </w:rPr>
        <w:t>Demografický vývoj</w:t>
      </w:r>
      <w:r>
        <w:t xml:space="preserve"> obyvatelstva pro Aktualizaci PRVKOK</w:t>
      </w:r>
      <w:r w:rsidR="00281B3D">
        <w:t xml:space="preserve">, </w:t>
      </w:r>
      <w:r>
        <w:t xml:space="preserve">se předpokládá s rychlejším úbytkem na 626 tis. obyvatel v roce 2025 a naopak s mírnějším poklesem až stagnací na </w:t>
      </w:r>
      <w:r w:rsidRPr="006E4008">
        <w:rPr>
          <w:b/>
        </w:rPr>
        <w:t>61</w:t>
      </w:r>
      <w:r>
        <w:rPr>
          <w:b/>
        </w:rPr>
        <w:t>1</w:t>
      </w:r>
      <w:r w:rsidRPr="006E4008">
        <w:rPr>
          <w:b/>
        </w:rPr>
        <w:t xml:space="preserve"> tis. v roce 2050</w:t>
      </w:r>
      <w:r>
        <w:t>. Důvodem rozdílných hodnot počtu obyvatelstva v roce 2050 u jednotlivých dokumentů je rozdílná metoda stanovení</w:t>
      </w:r>
      <w:r w:rsidR="00281B3D">
        <w:t xml:space="preserve"> (viz kapitola </w:t>
      </w:r>
      <w:r w:rsidR="00281B3D" w:rsidRPr="002B7CD6">
        <w:rPr>
          <w:i/>
        </w:rPr>
        <w:t>2.1. Předpokládaný vývoj počtu obyvatel Olomouckého kraje</w:t>
      </w:r>
      <w:r w:rsidR="00281B3D">
        <w:t>)</w:t>
      </w:r>
      <w:r>
        <w:t>, a především odlišná vstupní data, neboť počet obyvatel za tři roky od zpracování „Studie sídelní struktury Olomouckého kraje“ pokles oproti předpokladu o 4 tis. na 634 tis. obyvatel.</w:t>
      </w:r>
    </w:p>
    <w:p w:rsidR="00281B3D" w:rsidRDefault="00281B3D" w:rsidP="0059501D"/>
    <w:p w:rsidR="00C7303A" w:rsidRDefault="00C7303A" w:rsidP="0059501D">
      <w:r>
        <w:br w:type="page"/>
      </w:r>
    </w:p>
    <w:p w:rsidR="00607079" w:rsidRDefault="00EF7623" w:rsidP="0027744E">
      <w:pPr>
        <w:pStyle w:val="Nadpis1"/>
      </w:pPr>
      <w:bookmarkStart w:id="66" w:name="_Toc469989361"/>
      <w:r>
        <w:lastRenderedPageBreak/>
        <w:t>Vstupní podklady</w:t>
      </w:r>
      <w:bookmarkEnd w:id="66"/>
    </w:p>
    <w:p w:rsidR="005F5657" w:rsidRPr="005F5657" w:rsidRDefault="005F5657" w:rsidP="005F5657">
      <w:r>
        <w:t>Český statistický úřad (</w:t>
      </w:r>
      <w:r w:rsidR="0056141C" w:rsidRPr="0056141C">
        <w:t>https://www.czso.cz/</w:t>
      </w:r>
      <w:proofErr w:type="spellStart"/>
      <w:r w:rsidR="0056141C" w:rsidRPr="0056141C">
        <w:t>csu</w:t>
      </w:r>
      <w:proofErr w:type="spellEnd"/>
      <w:r w:rsidR="0056141C" w:rsidRPr="0056141C">
        <w:t>/</w:t>
      </w:r>
      <w:proofErr w:type="spellStart"/>
      <w:r w:rsidR="0056141C" w:rsidRPr="0056141C">
        <w:t>czso</w:t>
      </w:r>
      <w:proofErr w:type="spellEnd"/>
      <w:r w:rsidR="0056141C" w:rsidRPr="0056141C">
        <w:t>/domov</w:t>
      </w:r>
      <w:r w:rsidR="0056141C">
        <w:t>)</w:t>
      </w:r>
    </w:p>
    <w:p w:rsidR="005F5657" w:rsidRPr="005F5657" w:rsidRDefault="005F5657" w:rsidP="0056141C">
      <w:pPr>
        <w:pStyle w:val="Odstavecseseznamem"/>
        <w:numPr>
          <w:ilvl w:val="0"/>
          <w:numId w:val="19"/>
        </w:numPr>
      </w:pPr>
      <w:r w:rsidRPr="005F5657">
        <w:t>Obyvatelstvo</w:t>
      </w:r>
      <w:r>
        <w:t xml:space="preserve"> (</w:t>
      </w:r>
      <w:r w:rsidRPr="00A874EB">
        <w:t>https://www.czso.cz/</w:t>
      </w:r>
      <w:proofErr w:type="spellStart"/>
      <w:r w:rsidRPr="00A874EB">
        <w:t>csu</w:t>
      </w:r>
      <w:proofErr w:type="spellEnd"/>
      <w:r w:rsidRPr="00A874EB">
        <w:t>/</w:t>
      </w:r>
      <w:proofErr w:type="spellStart"/>
      <w:r w:rsidRPr="00A874EB">
        <w:t>czso</w:t>
      </w:r>
      <w:proofErr w:type="spellEnd"/>
      <w:r w:rsidRPr="00A874EB">
        <w:t>/</w:t>
      </w:r>
      <w:proofErr w:type="spellStart"/>
      <w:r w:rsidRPr="00A874EB">
        <w:t>obyvatelstvo_lide</w:t>
      </w:r>
      <w:proofErr w:type="spellEnd"/>
      <w:r>
        <w:t>)</w:t>
      </w:r>
    </w:p>
    <w:p w:rsidR="005F5657" w:rsidRPr="005F5657" w:rsidRDefault="005F5657" w:rsidP="0056141C">
      <w:pPr>
        <w:pStyle w:val="Odstavecseseznamem"/>
        <w:numPr>
          <w:ilvl w:val="0"/>
          <w:numId w:val="19"/>
        </w:numPr>
      </w:pPr>
      <w:r w:rsidRPr="005F5657">
        <w:t>Populační prognóza ČR do r.</w:t>
      </w:r>
      <w:r w:rsidR="00190957">
        <w:t xml:space="preserve"> </w:t>
      </w:r>
      <w:r w:rsidRPr="005F5657">
        <w:t xml:space="preserve">2050 </w:t>
      </w:r>
      <w:r>
        <w:t>–</w:t>
      </w:r>
      <w:r w:rsidRPr="005F5657">
        <w:t xml:space="preserve"> N</w:t>
      </w:r>
      <w:r>
        <w:t xml:space="preserve"> (</w:t>
      </w:r>
      <w:r w:rsidRPr="005F5657">
        <w:t>https://www.czso.cz/csu/czso/populacni-prognoza-cr-do-r2050-n-g9kah2fe2x</w:t>
      </w:r>
      <w:r>
        <w:t>)</w:t>
      </w:r>
    </w:p>
    <w:p w:rsidR="005F5657" w:rsidRPr="005F5657" w:rsidRDefault="005F5657" w:rsidP="0056141C">
      <w:pPr>
        <w:pStyle w:val="Odstavecseseznamem"/>
        <w:numPr>
          <w:ilvl w:val="0"/>
          <w:numId w:val="19"/>
        </w:numPr>
      </w:pPr>
      <w:r w:rsidRPr="005F5657">
        <w:t xml:space="preserve">Vývoj obyvatelstva České republiky </w:t>
      </w:r>
      <w:r>
        <w:t>–</w:t>
      </w:r>
      <w:r w:rsidRPr="005F5657">
        <w:t xml:space="preserve"> 2015</w:t>
      </w:r>
      <w:r>
        <w:t xml:space="preserve"> (</w:t>
      </w:r>
      <w:r w:rsidRPr="00623AEB">
        <w:t>https://www.czso.cz/csu/czso/vyvoj-obyvatelstva-ceske-republiky</w:t>
      </w:r>
      <w:r>
        <w:t>)</w:t>
      </w:r>
    </w:p>
    <w:p w:rsidR="00334383" w:rsidRDefault="00334383" w:rsidP="0056141C">
      <w:pPr>
        <w:pStyle w:val="Odstavecseseznamem"/>
        <w:numPr>
          <w:ilvl w:val="0"/>
          <w:numId w:val="19"/>
        </w:numPr>
      </w:pPr>
      <w:r>
        <w:t xml:space="preserve">Krajská správa ČSÚ v Olomouci </w:t>
      </w:r>
      <w:r w:rsidR="005F5657">
        <w:t>(</w:t>
      </w:r>
      <w:r w:rsidR="005F5657" w:rsidRPr="005F5657">
        <w:t>https://www.czso.cz/</w:t>
      </w:r>
      <w:proofErr w:type="spellStart"/>
      <w:r w:rsidR="005F5657" w:rsidRPr="005F5657">
        <w:t>csu</w:t>
      </w:r>
      <w:proofErr w:type="spellEnd"/>
      <w:r w:rsidR="005F5657" w:rsidRPr="005F5657">
        <w:t>/</w:t>
      </w:r>
      <w:proofErr w:type="spellStart"/>
      <w:r w:rsidR="005F5657" w:rsidRPr="005F5657">
        <w:t>xm</w:t>
      </w:r>
      <w:proofErr w:type="spellEnd"/>
      <w:r w:rsidR="005F5657" w:rsidRPr="005F5657">
        <w:t>/</w:t>
      </w:r>
      <w:r w:rsidR="005F5657">
        <w:t>)</w:t>
      </w:r>
    </w:p>
    <w:p w:rsidR="0086562C" w:rsidRDefault="005F5657" w:rsidP="00334383">
      <w:r>
        <w:t>Ú</w:t>
      </w:r>
      <w:r w:rsidR="00AB446D">
        <w:t>zemní</w:t>
      </w:r>
      <w:r w:rsidR="001D463D">
        <w:t xml:space="preserve"> plány obcí Olomouckého kraje – Portál územního plánování (</w:t>
      </w:r>
      <w:r w:rsidR="001D463D" w:rsidRPr="001D463D">
        <w:t>http://uap.kr-olomoucky.cz/</w:t>
      </w:r>
      <w:r w:rsidR="001D463D">
        <w:t>)</w:t>
      </w:r>
    </w:p>
    <w:p w:rsidR="00607079" w:rsidRDefault="0086562C" w:rsidP="005212D3">
      <w:r w:rsidRPr="00A21EDD">
        <w:t>Studie sídelní struktury Olomouckého kraje</w:t>
      </w:r>
      <w:r w:rsidR="001D463D">
        <w:t>,</w:t>
      </w:r>
      <w:r>
        <w:t xml:space="preserve"> </w:t>
      </w:r>
      <w:r w:rsidR="008513C9">
        <w:t>GEOCENTRUM</w:t>
      </w:r>
      <w:r w:rsidR="001D463D">
        <w:t>, 2012</w:t>
      </w:r>
    </w:p>
    <w:p w:rsidR="00A874EB" w:rsidRDefault="00A874EB" w:rsidP="005212D3"/>
    <w:p w:rsidR="00C7303A" w:rsidRDefault="00C7303A">
      <w:pPr>
        <w:spacing w:before="0" w:after="0"/>
        <w:jc w:val="left"/>
      </w:pPr>
      <w:r>
        <w:br w:type="page"/>
      </w:r>
    </w:p>
    <w:p w:rsidR="00E0772A" w:rsidRDefault="00E0772A" w:rsidP="00E0772A">
      <w:pPr>
        <w:pStyle w:val="Nadpis1"/>
      </w:pPr>
      <w:bookmarkStart w:id="67" w:name="_Toc469989362"/>
      <w:r>
        <w:lastRenderedPageBreak/>
        <w:t>Seznam grafů</w:t>
      </w:r>
      <w:r w:rsidR="00EA0F05">
        <w:t>, obrázků</w:t>
      </w:r>
      <w:r>
        <w:t xml:space="preserve"> a tabulek</w:t>
      </w:r>
      <w:bookmarkEnd w:id="67"/>
    </w:p>
    <w:p w:rsidR="00C7303A" w:rsidRPr="00C7303A" w:rsidRDefault="00C7303A" w:rsidP="00C7303A">
      <w:pPr>
        <w:pStyle w:val="Nadpis2"/>
      </w:pPr>
      <w:bookmarkStart w:id="68" w:name="_Toc469989363"/>
      <w:r>
        <w:t>Seznam grafů</w:t>
      </w:r>
      <w:bookmarkEnd w:id="68"/>
    </w:p>
    <w:p w:rsidR="003245AA" w:rsidRDefault="00C7303A">
      <w:pPr>
        <w:pStyle w:val="Seznamobrzk"/>
        <w:tabs>
          <w:tab w:val="right" w:leader="dot" w:pos="9062"/>
        </w:tabs>
        <w:rPr>
          <w:rFonts w:cstheme="minorBidi"/>
          <w:noProof/>
          <w:szCs w:val="22"/>
          <w:lang w:eastAsia="cs-CZ"/>
        </w:rPr>
      </w:pPr>
      <w:r>
        <w:fldChar w:fldCharType="begin"/>
      </w:r>
      <w:r>
        <w:instrText xml:space="preserve"> TOC \h \z \c "Graf" </w:instrText>
      </w:r>
      <w:r>
        <w:fldChar w:fldCharType="separate"/>
      </w:r>
      <w:hyperlink w:anchor="_Toc469908860" w:history="1">
        <w:r w:rsidR="003245AA" w:rsidRPr="00B809B9">
          <w:rPr>
            <w:rStyle w:val="Hypertextovodkaz"/>
            <w:noProof/>
          </w:rPr>
          <w:t>Graf 1 Vývoj počtu obyvatel Olomouckého kraje mezi lety 1991 – 2015</w:t>
        </w:r>
        <w:r w:rsidR="003245AA">
          <w:rPr>
            <w:noProof/>
            <w:webHidden/>
          </w:rPr>
          <w:tab/>
        </w:r>
        <w:r w:rsidR="003245AA">
          <w:rPr>
            <w:noProof/>
            <w:webHidden/>
          </w:rPr>
          <w:fldChar w:fldCharType="begin"/>
        </w:r>
        <w:r w:rsidR="003245AA">
          <w:rPr>
            <w:noProof/>
            <w:webHidden/>
          </w:rPr>
          <w:instrText xml:space="preserve"> PAGEREF _Toc469908860 \h </w:instrText>
        </w:r>
        <w:r w:rsidR="003245AA">
          <w:rPr>
            <w:noProof/>
            <w:webHidden/>
          </w:rPr>
        </w:r>
        <w:r w:rsidR="003245AA">
          <w:rPr>
            <w:noProof/>
            <w:webHidden/>
          </w:rPr>
          <w:fldChar w:fldCharType="separate"/>
        </w:r>
        <w:r w:rsidR="003A35BB">
          <w:rPr>
            <w:noProof/>
            <w:webHidden/>
          </w:rPr>
          <w:t>7</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1" w:history="1">
        <w:r w:rsidR="003245AA" w:rsidRPr="00B809B9">
          <w:rPr>
            <w:rStyle w:val="Hypertextovodkaz"/>
            <w:noProof/>
          </w:rPr>
          <w:t>Graf 2 Předpokládaný vývoj počtu obyvatel Olomouckého kraje v letech 2020 – 2050</w:t>
        </w:r>
        <w:r w:rsidR="003245AA">
          <w:rPr>
            <w:noProof/>
            <w:webHidden/>
          </w:rPr>
          <w:tab/>
        </w:r>
        <w:r w:rsidR="003245AA">
          <w:rPr>
            <w:noProof/>
            <w:webHidden/>
          </w:rPr>
          <w:fldChar w:fldCharType="begin"/>
        </w:r>
        <w:r w:rsidR="003245AA">
          <w:rPr>
            <w:noProof/>
            <w:webHidden/>
          </w:rPr>
          <w:instrText xml:space="preserve"> PAGEREF _Toc469908861 \h </w:instrText>
        </w:r>
        <w:r w:rsidR="003245AA">
          <w:rPr>
            <w:noProof/>
            <w:webHidden/>
          </w:rPr>
        </w:r>
        <w:r w:rsidR="003245AA">
          <w:rPr>
            <w:noProof/>
            <w:webHidden/>
          </w:rPr>
          <w:fldChar w:fldCharType="separate"/>
        </w:r>
        <w:r w:rsidR="003A35BB">
          <w:rPr>
            <w:noProof/>
            <w:webHidden/>
          </w:rPr>
          <w:t>8</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2" w:history="1">
        <w:r w:rsidR="003245AA" w:rsidRPr="00B809B9">
          <w:rPr>
            <w:rStyle w:val="Hypertextovodkaz"/>
            <w:noProof/>
          </w:rPr>
          <w:t>Graf 3 Vývoj a předpokládaný vývoj počtu obyvatel SO ORP Jeseník v letech 1991 – 2050</w:t>
        </w:r>
        <w:r w:rsidR="003245AA">
          <w:rPr>
            <w:noProof/>
            <w:webHidden/>
          </w:rPr>
          <w:tab/>
        </w:r>
        <w:r w:rsidR="003245AA">
          <w:rPr>
            <w:noProof/>
            <w:webHidden/>
          </w:rPr>
          <w:fldChar w:fldCharType="begin"/>
        </w:r>
        <w:r w:rsidR="003245AA">
          <w:rPr>
            <w:noProof/>
            <w:webHidden/>
          </w:rPr>
          <w:instrText xml:space="preserve"> PAGEREF _Toc469908862 \h </w:instrText>
        </w:r>
        <w:r w:rsidR="003245AA">
          <w:rPr>
            <w:noProof/>
            <w:webHidden/>
          </w:rPr>
        </w:r>
        <w:r w:rsidR="003245AA">
          <w:rPr>
            <w:noProof/>
            <w:webHidden/>
          </w:rPr>
          <w:fldChar w:fldCharType="separate"/>
        </w:r>
        <w:r w:rsidR="003A35BB">
          <w:rPr>
            <w:noProof/>
            <w:webHidden/>
          </w:rPr>
          <w:t>11</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3" w:history="1">
        <w:r w:rsidR="003245AA" w:rsidRPr="00B809B9">
          <w:rPr>
            <w:rStyle w:val="Hypertextovodkaz"/>
            <w:noProof/>
          </w:rPr>
          <w:t>Graf 4 Vývoj a předpokládaný vývoj počtu obyvatel SO ORP Šumperk v letech 1991 – 2050</w:t>
        </w:r>
        <w:r w:rsidR="003245AA">
          <w:rPr>
            <w:noProof/>
            <w:webHidden/>
          </w:rPr>
          <w:tab/>
        </w:r>
        <w:r w:rsidR="003245AA">
          <w:rPr>
            <w:noProof/>
            <w:webHidden/>
          </w:rPr>
          <w:fldChar w:fldCharType="begin"/>
        </w:r>
        <w:r w:rsidR="003245AA">
          <w:rPr>
            <w:noProof/>
            <w:webHidden/>
          </w:rPr>
          <w:instrText xml:space="preserve"> PAGEREF _Toc469908863 \h </w:instrText>
        </w:r>
        <w:r w:rsidR="003245AA">
          <w:rPr>
            <w:noProof/>
            <w:webHidden/>
          </w:rPr>
        </w:r>
        <w:r w:rsidR="003245AA">
          <w:rPr>
            <w:noProof/>
            <w:webHidden/>
          </w:rPr>
          <w:fldChar w:fldCharType="separate"/>
        </w:r>
        <w:r w:rsidR="003A35BB">
          <w:rPr>
            <w:noProof/>
            <w:webHidden/>
          </w:rPr>
          <w:t>13</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4" w:history="1">
        <w:r w:rsidR="003245AA" w:rsidRPr="00B809B9">
          <w:rPr>
            <w:rStyle w:val="Hypertextovodkaz"/>
            <w:noProof/>
          </w:rPr>
          <w:t>Graf 5 Vývoj a předpokládaný vývoj počtu obyvatel SO ORP Zábřeh v letech 1991 – 2050</w:t>
        </w:r>
        <w:r w:rsidR="003245AA">
          <w:rPr>
            <w:noProof/>
            <w:webHidden/>
          </w:rPr>
          <w:tab/>
        </w:r>
        <w:r w:rsidR="003245AA">
          <w:rPr>
            <w:noProof/>
            <w:webHidden/>
          </w:rPr>
          <w:fldChar w:fldCharType="begin"/>
        </w:r>
        <w:r w:rsidR="003245AA">
          <w:rPr>
            <w:noProof/>
            <w:webHidden/>
          </w:rPr>
          <w:instrText xml:space="preserve"> PAGEREF _Toc469908864 \h </w:instrText>
        </w:r>
        <w:r w:rsidR="003245AA">
          <w:rPr>
            <w:noProof/>
            <w:webHidden/>
          </w:rPr>
        </w:r>
        <w:r w:rsidR="003245AA">
          <w:rPr>
            <w:noProof/>
            <w:webHidden/>
          </w:rPr>
          <w:fldChar w:fldCharType="separate"/>
        </w:r>
        <w:r w:rsidR="003A35BB">
          <w:rPr>
            <w:noProof/>
            <w:webHidden/>
          </w:rPr>
          <w:t>15</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5" w:history="1">
        <w:r w:rsidR="003245AA" w:rsidRPr="00B809B9">
          <w:rPr>
            <w:rStyle w:val="Hypertextovodkaz"/>
            <w:noProof/>
          </w:rPr>
          <w:t>Graf 6 Vývoj a předpokládaný vývoj počtu obyvatel SO ORP Mohelnice v letech 1991 – 2050</w:t>
        </w:r>
        <w:r w:rsidR="003245AA">
          <w:rPr>
            <w:noProof/>
            <w:webHidden/>
          </w:rPr>
          <w:tab/>
        </w:r>
        <w:r w:rsidR="003245AA">
          <w:rPr>
            <w:noProof/>
            <w:webHidden/>
          </w:rPr>
          <w:fldChar w:fldCharType="begin"/>
        </w:r>
        <w:r w:rsidR="003245AA">
          <w:rPr>
            <w:noProof/>
            <w:webHidden/>
          </w:rPr>
          <w:instrText xml:space="preserve"> PAGEREF _Toc469908865 \h </w:instrText>
        </w:r>
        <w:r w:rsidR="003245AA">
          <w:rPr>
            <w:noProof/>
            <w:webHidden/>
          </w:rPr>
        </w:r>
        <w:r w:rsidR="003245AA">
          <w:rPr>
            <w:noProof/>
            <w:webHidden/>
          </w:rPr>
          <w:fldChar w:fldCharType="separate"/>
        </w:r>
        <w:r w:rsidR="003A35BB">
          <w:rPr>
            <w:noProof/>
            <w:webHidden/>
          </w:rPr>
          <w:t>17</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6" w:history="1">
        <w:r w:rsidR="003245AA" w:rsidRPr="00B809B9">
          <w:rPr>
            <w:rStyle w:val="Hypertextovodkaz"/>
            <w:noProof/>
          </w:rPr>
          <w:t>Graf 7 Vývoj a předpokládaný vývoj počtu obyvatel SO ORP Litovel v letech 1991 – 2050</w:t>
        </w:r>
        <w:r w:rsidR="003245AA">
          <w:rPr>
            <w:noProof/>
            <w:webHidden/>
          </w:rPr>
          <w:tab/>
        </w:r>
        <w:r w:rsidR="003245AA">
          <w:rPr>
            <w:noProof/>
            <w:webHidden/>
          </w:rPr>
          <w:fldChar w:fldCharType="begin"/>
        </w:r>
        <w:r w:rsidR="003245AA">
          <w:rPr>
            <w:noProof/>
            <w:webHidden/>
          </w:rPr>
          <w:instrText xml:space="preserve"> PAGEREF _Toc469908866 \h </w:instrText>
        </w:r>
        <w:r w:rsidR="003245AA">
          <w:rPr>
            <w:noProof/>
            <w:webHidden/>
          </w:rPr>
        </w:r>
        <w:r w:rsidR="003245AA">
          <w:rPr>
            <w:noProof/>
            <w:webHidden/>
          </w:rPr>
          <w:fldChar w:fldCharType="separate"/>
        </w:r>
        <w:r w:rsidR="003A35BB">
          <w:rPr>
            <w:noProof/>
            <w:webHidden/>
          </w:rPr>
          <w:t>19</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7" w:history="1">
        <w:r w:rsidR="003245AA" w:rsidRPr="00B809B9">
          <w:rPr>
            <w:rStyle w:val="Hypertextovodkaz"/>
            <w:noProof/>
          </w:rPr>
          <w:t>Graf 8 Vývoj a předpokládaný vývoj počtu obyvatel SO ORP Uničov v letech 1991 – 2050</w:t>
        </w:r>
        <w:r w:rsidR="003245AA">
          <w:rPr>
            <w:noProof/>
            <w:webHidden/>
          </w:rPr>
          <w:tab/>
        </w:r>
        <w:r w:rsidR="003245AA">
          <w:rPr>
            <w:noProof/>
            <w:webHidden/>
          </w:rPr>
          <w:fldChar w:fldCharType="begin"/>
        </w:r>
        <w:r w:rsidR="003245AA">
          <w:rPr>
            <w:noProof/>
            <w:webHidden/>
          </w:rPr>
          <w:instrText xml:space="preserve"> PAGEREF _Toc469908867 \h </w:instrText>
        </w:r>
        <w:r w:rsidR="003245AA">
          <w:rPr>
            <w:noProof/>
            <w:webHidden/>
          </w:rPr>
        </w:r>
        <w:r w:rsidR="003245AA">
          <w:rPr>
            <w:noProof/>
            <w:webHidden/>
          </w:rPr>
          <w:fldChar w:fldCharType="separate"/>
        </w:r>
        <w:r w:rsidR="003A35BB">
          <w:rPr>
            <w:noProof/>
            <w:webHidden/>
          </w:rPr>
          <w:t>21</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8" w:history="1">
        <w:r w:rsidR="003245AA" w:rsidRPr="00B809B9">
          <w:rPr>
            <w:rStyle w:val="Hypertextovodkaz"/>
            <w:noProof/>
          </w:rPr>
          <w:t>Graf 9 Vývoj a předpokládaný vývoj počtu obyvatel SO ORP Šternberk v letech 1991 – 2050</w:t>
        </w:r>
        <w:r w:rsidR="003245AA">
          <w:rPr>
            <w:noProof/>
            <w:webHidden/>
          </w:rPr>
          <w:tab/>
        </w:r>
        <w:r w:rsidR="003245AA">
          <w:rPr>
            <w:noProof/>
            <w:webHidden/>
          </w:rPr>
          <w:fldChar w:fldCharType="begin"/>
        </w:r>
        <w:r w:rsidR="003245AA">
          <w:rPr>
            <w:noProof/>
            <w:webHidden/>
          </w:rPr>
          <w:instrText xml:space="preserve"> PAGEREF _Toc469908868 \h </w:instrText>
        </w:r>
        <w:r w:rsidR="003245AA">
          <w:rPr>
            <w:noProof/>
            <w:webHidden/>
          </w:rPr>
        </w:r>
        <w:r w:rsidR="003245AA">
          <w:rPr>
            <w:noProof/>
            <w:webHidden/>
          </w:rPr>
          <w:fldChar w:fldCharType="separate"/>
        </w:r>
        <w:r w:rsidR="003A35BB">
          <w:rPr>
            <w:noProof/>
            <w:webHidden/>
          </w:rPr>
          <w:t>23</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69" w:history="1">
        <w:r w:rsidR="003245AA" w:rsidRPr="00B809B9">
          <w:rPr>
            <w:rStyle w:val="Hypertextovodkaz"/>
            <w:noProof/>
          </w:rPr>
          <w:t>Graf 10 Vývoj a předpokládaný vývoj počtu obyvatel SO ORP Olomouc v letech 1991 – 2050</w:t>
        </w:r>
        <w:r w:rsidR="003245AA">
          <w:rPr>
            <w:noProof/>
            <w:webHidden/>
          </w:rPr>
          <w:tab/>
        </w:r>
        <w:r w:rsidR="003245AA">
          <w:rPr>
            <w:noProof/>
            <w:webHidden/>
          </w:rPr>
          <w:fldChar w:fldCharType="begin"/>
        </w:r>
        <w:r w:rsidR="003245AA">
          <w:rPr>
            <w:noProof/>
            <w:webHidden/>
          </w:rPr>
          <w:instrText xml:space="preserve"> PAGEREF _Toc469908869 \h </w:instrText>
        </w:r>
        <w:r w:rsidR="003245AA">
          <w:rPr>
            <w:noProof/>
            <w:webHidden/>
          </w:rPr>
        </w:r>
        <w:r w:rsidR="003245AA">
          <w:rPr>
            <w:noProof/>
            <w:webHidden/>
          </w:rPr>
          <w:fldChar w:fldCharType="separate"/>
        </w:r>
        <w:r w:rsidR="003A35BB">
          <w:rPr>
            <w:noProof/>
            <w:webHidden/>
          </w:rPr>
          <w:t>25</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0" w:history="1">
        <w:r w:rsidR="003245AA" w:rsidRPr="00B809B9">
          <w:rPr>
            <w:rStyle w:val="Hypertextovodkaz"/>
            <w:noProof/>
          </w:rPr>
          <w:t>Graf 11 Vývoj a předpokládaný vývoj počtu obyvatel SO ORP Prostějov v letech 1991 – 2050</w:t>
        </w:r>
        <w:r w:rsidR="003245AA">
          <w:rPr>
            <w:noProof/>
            <w:webHidden/>
          </w:rPr>
          <w:tab/>
        </w:r>
        <w:r w:rsidR="003245AA">
          <w:rPr>
            <w:noProof/>
            <w:webHidden/>
          </w:rPr>
          <w:fldChar w:fldCharType="begin"/>
        </w:r>
        <w:r w:rsidR="003245AA">
          <w:rPr>
            <w:noProof/>
            <w:webHidden/>
          </w:rPr>
          <w:instrText xml:space="preserve"> PAGEREF _Toc469908870 \h </w:instrText>
        </w:r>
        <w:r w:rsidR="003245AA">
          <w:rPr>
            <w:noProof/>
            <w:webHidden/>
          </w:rPr>
        </w:r>
        <w:r w:rsidR="003245AA">
          <w:rPr>
            <w:noProof/>
            <w:webHidden/>
          </w:rPr>
          <w:fldChar w:fldCharType="separate"/>
        </w:r>
        <w:r w:rsidR="003A35BB">
          <w:rPr>
            <w:noProof/>
            <w:webHidden/>
          </w:rPr>
          <w:t>27</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1" w:history="1">
        <w:r w:rsidR="003245AA" w:rsidRPr="00B809B9">
          <w:rPr>
            <w:rStyle w:val="Hypertextovodkaz"/>
            <w:noProof/>
          </w:rPr>
          <w:t>Graf 12 Vývoj a předpokládaný vývoj počtu obyvatel SO ORP Konice v letech 1991 – 2050</w:t>
        </w:r>
        <w:r w:rsidR="003245AA">
          <w:rPr>
            <w:noProof/>
            <w:webHidden/>
          </w:rPr>
          <w:tab/>
        </w:r>
        <w:r w:rsidR="003245AA">
          <w:rPr>
            <w:noProof/>
            <w:webHidden/>
          </w:rPr>
          <w:fldChar w:fldCharType="begin"/>
        </w:r>
        <w:r w:rsidR="003245AA">
          <w:rPr>
            <w:noProof/>
            <w:webHidden/>
          </w:rPr>
          <w:instrText xml:space="preserve"> PAGEREF _Toc469908871 \h </w:instrText>
        </w:r>
        <w:r w:rsidR="003245AA">
          <w:rPr>
            <w:noProof/>
            <w:webHidden/>
          </w:rPr>
        </w:r>
        <w:r w:rsidR="003245AA">
          <w:rPr>
            <w:noProof/>
            <w:webHidden/>
          </w:rPr>
          <w:fldChar w:fldCharType="separate"/>
        </w:r>
        <w:r w:rsidR="003A35BB">
          <w:rPr>
            <w:noProof/>
            <w:webHidden/>
          </w:rPr>
          <w:t>29</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2" w:history="1">
        <w:r w:rsidR="003245AA" w:rsidRPr="00B809B9">
          <w:rPr>
            <w:rStyle w:val="Hypertextovodkaz"/>
            <w:noProof/>
          </w:rPr>
          <w:t>Graf 13 Vývoj a předpokládaný vývoj počtu obyvatel SO ORP Přerov v letech 1991 – 2050</w:t>
        </w:r>
        <w:r w:rsidR="003245AA">
          <w:rPr>
            <w:noProof/>
            <w:webHidden/>
          </w:rPr>
          <w:tab/>
        </w:r>
        <w:r w:rsidR="003245AA">
          <w:rPr>
            <w:noProof/>
            <w:webHidden/>
          </w:rPr>
          <w:fldChar w:fldCharType="begin"/>
        </w:r>
        <w:r w:rsidR="003245AA">
          <w:rPr>
            <w:noProof/>
            <w:webHidden/>
          </w:rPr>
          <w:instrText xml:space="preserve"> PAGEREF _Toc469908872 \h </w:instrText>
        </w:r>
        <w:r w:rsidR="003245AA">
          <w:rPr>
            <w:noProof/>
            <w:webHidden/>
          </w:rPr>
        </w:r>
        <w:r w:rsidR="003245AA">
          <w:rPr>
            <w:noProof/>
            <w:webHidden/>
          </w:rPr>
          <w:fldChar w:fldCharType="separate"/>
        </w:r>
        <w:r w:rsidR="003A35BB">
          <w:rPr>
            <w:noProof/>
            <w:webHidden/>
          </w:rPr>
          <w:t>31</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3" w:history="1">
        <w:r w:rsidR="003245AA" w:rsidRPr="00B809B9">
          <w:rPr>
            <w:rStyle w:val="Hypertextovodkaz"/>
            <w:noProof/>
          </w:rPr>
          <w:t>Graf 14 Vývoj a předpokládaný vývoj počtu obyvatel SO ORP Lipník nad Bečvou v letech 1991 – 2050</w:t>
        </w:r>
        <w:r w:rsidR="003245AA">
          <w:rPr>
            <w:noProof/>
            <w:webHidden/>
          </w:rPr>
          <w:tab/>
        </w:r>
        <w:r w:rsidR="003245AA">
          <w:rPr>
            <w:noProof/>
            <w:webHidden/>
          </w:rPr>
          <w:fldChar w:fldCharType="begin"/>
        </w:r>
        <w:r w:rsidR="003245AA">
          <w:rPr>
            <w:noProof/>
            <w:webHidden/>
          </w:rPr>
          <w:instrText xml:space="preserve"> PAGEREF _Toc469908873 \h </w:instrText>
        </w:r>
        <w:r w:rsidR="003245AA">
          <w:rPr>
            <w:noProof/>
            <w:webHidden/>
          </w:rPr>
        </w:r>
        <w:r w:rsidR="003245AA">
          <w:rPr>
            <w:noProof/>
            <w:webHidden/>
          </w:rPr>
          <w:fldChar w:fldCharType="separate"/>
        </w:r>
        <w:r w:rsidR="003A35BB">
          <w:rPr>
            <w:noProof/>
            <w:webHidden/>
          </w:rPr>
          <w:t>33</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4" w:history="1">
        <w:r w:rsidR="003245AA" w:rsidRPr="00B809B9">
          <w:rPr>
            <w:rStyle w:val="Hypertextovodkaz"/>
            <w:noProof/>
          </w:rPr>
          <w:t>Graf 15 Vývoj a předpokládaný vývoj počtu obyvatel SO ORP Hranice v letech 1991 – 2050</w:t>
        </w:r>
        <w:r w:rsidR="003245AA">
          <w:rPr>
            <w:noProof/>
            <w:webHidden/>
          </w:rPr>
          <w:tab/>
        </w:r>
        <w:r w:rsidR="003245AA">
          <w:rPr>
            <w:noProof/>
            <w:webHidden/>
          </w:rPr>
          <w:fldChar w:fldCharType="begin"/>
        </w:r>
        <w:r w:rsidR="003245AA">
          <w:rPr>
            <w:noProof/>
            <w:webHidden/>
          </w:rPr>
          <w:instrText xml:space="preserve"> PAGEREF _Toc469908874 \h </w:instrText>
        </w:r>
        <w:r w:rsidR="003245AA">
          <w:rPr>
            <w:noProof/>
            <w:webHidden/>
          </w:rPr>
        </w:r>
        <w:r w:rsidR="003245AA">
          <w:rPr>
            <w:noProof/>
            <w:webHidden/>
          </w:rPr>
          <w:fldChar w:fldCharType="separate"/>
        </w:r>
        <w:r w:rsidR="003A35BB">
          <w:rPr>
            <w:noProof/>
            <w:webHidden/>
          </w:rPr>
          <w:t>35</w:t>
        </w:r>
        <w:r w:rsidR="003245AA">
          <w:rPr>
            <w:noProof/>
            <w:webHidden/>
          </w:rPr>
          <w:fldChar w:fldCharType="end"/>
        </w:r>
      </w:hyperlink>
    </w:p>
    <w:p w:rsidR="00F7590B" w:rsidRDefault="00C7303A">
      <w:r>
        <w:fldChar w:fldCharType="end"/>
      </w:r>
    </w:p>
    <w:p w:rsidR="00EA0F05" w:rsidRDefault="00EA0F05" w:rsidP="00EA0F05">
      <w:pPr>
        <w:pStyle w:val="Nadpis2"/>
      </w:pPr>
      <w:r>
        <w:t xml:space="preserve"> </w:t>
      </w:r>
      <w:bookmarkStart w:id="69" w:name="_Toc469989364"/>
      <w:r>
        <w:t>Seznam obrázků</w:t>
      </w:r>
      <w:bookmarkEnd w:id="69"/>
    </w:p>
    <w:p w:rsidR="00E748BE" w:rsidRDefault="009A70C1">
      <w:pPr>
        <w:pStyle w:val="Seznamobrzk"/>
        <w:tabs>
          <w:tab w:val="right" w:leader="dot" w:pos="9062"/>
        </w:tabs>
        <w:rPr>
          <w:rFonts w:cstheme="minorBidi"/>
          <w:noProof/>
          <w:szCs w:val="22"/>
          <w:lang w:eastAsia="cs-CZ"/>
        </w:rPr>
      </w:pPr>
      <w:r>
        <w:fldChar w:fldCharType="begin"/>
      </w:r>
      <w:r>
        <w:instrText xml:space="preserve"> TOC \h \z \c "Obr. " </w:instrText>
      </w:r>
      <w:r>
        <w:fldChar w:fldCharType="separate"/>
      </w:r>
      <w:hyperlink w:anchor="_Toc469897503" w:history="1">
        <w:r w:rsidR="00E748BE" w:rsidRPr="009607AA">
          <w:rPr>
            <w:rStyle w:val="Hypertextovodkaz"/>
            <w:noProof/>
          </w:rPr>
          <w:t>Obr. 1 Adminstrativní členění Olomouckého kraje (</w:t>
        </w:r>
        <w:r w:rsidR="00E748BE" w:rsidRPr="009607AA">
          <w:rPr>
            <w:rStyle w:val="Hypertextovodkaz"/>
            <w:i/>
            <w:noProof/>
          </w:rPr>
          <w:t>Zdroj: Český statistický úřad</w:t>
        </w:r>
        <w:r w:rsidR="00E748BE" w:rsidRPr="009607AA">
          <w:rPr>
            <w:rStyle w:val="Hypertextovodkaz"/>
            <w:noProof/>
          </w:rPr>
          <w:t>)</w:t>
        </w:r>
        <w:r w:rsidR="00E748BE">
          <w:rPr>
            <w:noProof/>
            <w:webHidden/>
          </w:rPr>
          <w:tab/>
        </w:r>
        <w:r w:rsidR="00E748BE">
          <w:rPr>
            <w:noProof/>
            <w:webHidden/>
          </w:rPr>
          <w:fldChar w:fldCharType="begin"/>
        </w:r>
        <w:r w:rsidR="00E748BE">
          <w:rPr>
            <w:noProof/>
            <w:webHidden/>
          </w:rPr>
          <w:instrText xml:space="preserve"> PAGEREF _Toc469897503 \h </w:instrText>
        </w:r>
        <w:r w:rsidR="00E748BE">
          <w:rPr>
            <w:noProof/>
            <w:webHidden/>
          </w:rPr>
        </w:r>
        <w:r w:rsidR="00E748BE">
          <w:rPr>
            <w:noProof/>
            <w:webHidden/>
          </w:rPr>
          <w:fldChar w:fldCharType="separate"/>
        </w:r>
        <w:r w:rsidR="003A35BB">
          <w:rPr>
            <w:noProof/>
            <w:webHidden/>
          </w:rPr>
          <w:t>9</w:t>
        </w:r>
        <w:r w:rsidR="00E748BE">
          <w:rPr>
            <w:noProof/>
            <w:webHidden/>
          </w:rPr>
          <w:fldChar w:fldCharType="end"/>
        </w:r>
      </w:hyperlink>
    </w:p>
    <w:p w:rsidR="00EA0F05" w:rsidRDefault="009A70C1" w:rsidP="00EA0F05">
      <w:r>
        <w:fldChar w:fldCharType="end"/>
      </w:r>
      <w:r>
        <w:t xml:space="preserve">Titulní foto: </w:t>
      </w:r>
      <w:r w:rsidRPr="009A70C1">
        <w:t xml:space="preserve">Přerov </w:t>
      </w:r>
      <w:r>
        <w:t>–</w:t>
      </w:r>
      <w:r w:rsidRPr="009A70C1">
        <w:t xml:space="preserve"> výstavba levobřežního a pravobřežního sběrače s napojením </w:t>
      </w:r>
      <w:proofErr w:type="spellStart"/>
      <w:r w:rsidRPr="009A70C1">
        <w:t>Dluhonic</w:t>
      </w:r>
      <w:proofErr w:type="spellEnd"/>
      <w:r w:rsidRPr="009A70C1">
        <w:t xml:space="preserve"> a Kozlovic</w:t>
      </w:r>
      <w:r>
        <w:t xml:space="preserve"> (Oháňka, 2015)</w:t>
      </w:r>
    </w:p>
    <w:p w:rsidR="00EA0F05" w:rsidRPr="00EA0F05" w:rsidRDefault="00EA0F05" w:rsidP="00EA0F05"/>
    <w:p w:rsidR="00F7590B" w:rsidRDefault="00F7590B" w:rsidP="00F7590B">
      <w:r>
        <w:br w:type="page"/>
      </w:r>
    </w:p>
    <w:p w:rsidR="00C7303A" w:rsidRDefault="00C7303A" w:rsidP="00C7303A">
      <w:pPr>
        <w:pStyle w:val="Nadpis2"/>
      </w:pPr>
      <w:bookmarkStart w:id="70" w:name="_Toc469989365"/>
      <w:r>
        <w:lastRenderedPageBreak/>
        <w:t>Seznam tabulek</w:t>
      </w:r>
      <w:bookmarkEnd w:id="70"/>
    </w:p>
    <w:p w:rsidR="003245AA" w:rsidRDefault="00C7303A">
      <w:pPr>
        <w:pStyle w:val="Seznamobrzk"/>
        <w:tabs>
          <w:tab w:val="right" w:leader="dot" w:pos="9062"/>
        </w:tabs>
        <w:rPr>
          <w:rFonts w:cstheme="minorBidi"/>
          <w:noProof/>
          <w:szCs w:val="22"/>
          <w:lang w:eastAsia="cs-CZ"/>
        </w:rPr>
      </w:pPr>
      <w:r>
        <w:fldChar w:fldCharType="begin"/>
      </w:r>
      <w:r>
        <w:instrText xml:space="preserve"> TOC \h \z \c "Tab." </w:instrText>
      </w:r>
      <w:r>
        <w:fldChar w:fldCharType="separate"/>
      </w:r>
      <w:hyperlink w:anchor="_Toc469908875" w:history="1">
        <w:r w:rsidR="003245AA" w:rsidRPr="007C4AD0">
          <w:rPr>
            <w:rStyle w:val="Hypertextovodkaz"/>
            <w:noProof/>
          </w:rPr>
          <w:t>Tab. 1 Vývoj počtu obyvatel České republiky mezi lety 2010 – 2015</w:t>
        </w:r>
        <w:r w:rsidR="003245AA">
          <w:rPr>
            <w:noProof/>
            <w:webHidden/>
          </w:rPr>
          <w:tab/>
        </w:r>
        <w:r w:rsidR="003245AA">
          <w:rPr>
            <w:noProof/>
            <w:webHidden/>
          </w:rPr>
          <w:fldChar w:fldCharType="begin"/>
        </w:r>
        <w:r w:rsidR="003245AA">
          <w:rPr>
            <w:noProof/>
            <w:webHidden/>
          </w:rPr>
          <w:instrText xml:space="preserve"> PAGEREF _Toc469908875 \h </w:instrText>
        </w:r>
        <w:r w:rsidR="003245AA">
          <w:rPr>
            <w:noProof/>
            <w:webHidden/>
          </w:rPr>
        </w:r>
        <w:r w:rsidR="003245AA">
          <w:rPr>
            <w:noProof/>
            <w:webHidden/>
          </w:rPr>
          <w:fldChar w:fldCharType="separate"/>
        </w:r>
        <w:r w:rsidR="003A35BB">
          <w:rPr>
            <w:noProof/>
            <w:webHidden/>
          </w:rPr>
          <w:t>5</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6" w:history="1">
        <w:r w:rsidR="003245AA" w:rsidRPr="007C4AD0">
          <w:rPr>
            <w:rStyle w:val="Hypertextovodkaz"/>
            <w:noProof/>
          </w:rPr>
          <w:t>Tab. 2 Populační prognóza České republiky do roku 2050 – nízká, střední a vysoká varianta</w:t>
        </w:r>
        <w:r w:rsidR="003245AA">
          <w:rPr>
            <w:noProof/>
            <w:webHidden/>
          </w:rPr>
          <w:tab/>
        </w:r>
        <w:r w:rsidR="003245AA">
          <w:rPr>
            <w:noProof/>
            <w:webHidden/>
          </w:rPr>
          <w:fldChar w:fldCharType="begin"/>
        </w:r>
        <w:r w:rsidR="003245AA">
          <w:rPr>
            <w:noProof/>
            <w:webHidden/>
          </w:rPr>
          <w:instrText xml:space="preserve"> PAGEREF _Toc469908876 \h </w:instrText>
        </w:r>
        <w:r w:rsidR="003245AA">
          <w:rPr>
            <w:noProof/>
            <w:webHidden/>
          </w:rPr>
        </w:r>
        <w:r w:rsidR="003245AA">
          <w:rPr>
            <w:noProof/>
            <w:webHidden/>
          </w:rPr>
          <w:fldChar w:fldCharType="separate"/>
        </w:r>
        <w:r w:rsidR="003A35BB">
          <w:rPr>
            <w:noProof/>
            <w:webHidden/>
          </w:rPr>
          <w:t>5</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7" w:history="1">
        <w:r w:rsidR="003245AA" w:rsidRPr="007C4AD0">
          <w:rPr>
            <w:rStyle w:val="Hypertextovodkaz"/>
            <w:noProof/>
          </w:rPr>
          <w:t>Tab. 3 Vývoj počtu obyvatel Olomouckého kraje mezi lety 1991 – 2015</w:t>
        </w:r>
        <w:r w:rsidR="003245AA">
          <w:rPr>
            <w:noProof/>
            <w:webHidden/>
          </w:rPr>
          <w:tab/>
        </w:r>
        <w:r w:rsidR="003245AA">
          <w:rPr>
            <w:noProof/>
            <w:webHidden/>
          </w:rPr>
          <w:fldChar w:fldCharType="begin"/>
        </w:r>
        <w:r w:rsidR="003245AA">
          <w:rPr>
            <w:noProof/>
            <w:webHidden/>
          </w:rPr>
          <w:instrText xml:space="preserve"> PAGEREF _Toc469908877 \h </w:instrText>
        </w:r>
        <w:r w:rsidR="003245AA">
          <w:rPr>
            <w:noProof/>
            <w:webHidden/>
          </w:rPr>
        </w:r>
        <w:r w:rsidR="003245AA">
          <w:rPr>
            <w:noProof/>
            <w:webHidden/>
          </w:rPr>
          <w:fldChar w:fldCharType="separate"/>
        </w:r>
        <w:r w:rsidR="003A35BB">
          <w:rPr>
            <w:noProof/>
            <w:webHidden/>
          </w:rPr>
          <w:t>6</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8" w:history="1">
        <w:r w:rsidR="003245AA" w:rsidRPr="007C4AD0">
          <w:rPr>
            <w:rStyle w:val="Hypertextovodkaz"/>
            <w:noProof/>
          </w:rPr>
          <w:t>Tab. 4 Předpokládaný vývoj počtu obyvatel Olomouckého kraje do roku 2050</w:t>
        </w:r>
        <w:r w:rsidR="003245AA">
          <w:rPr>
            <w:noProof/>
            <w:webHidden/>
          </w:rPr>
          <w:tab/>
        </w:r>
        <w:r w:rsidR="003245AA">
          <w:rPr>
            <w:noProof/>
            <w:webHidden/>
          </w:rPr>
          <w:fldChar w:fldCharType="begin"/>
        </w:r>
        <w:r w:rsidR="003245AA">
          <w:rPr>
            <w:noProof/>
            <w:webHidden/>
          </w:rPr>
          <w:instrText xml:space="preserve"> PAGEREF _Toc469908878 \h </w:instrText>
        </w:r>
        <w:r w:rsidR="003245AA">
          <w:rPr>
            <w:noProof/>
            <w:webHidden/>
          </w:rPr>
        </w:r>
        <w:r w:rsidR="003245AA">
          <w:rPr>
            <w:noProof/>
            <w:webHidden/>
          </w:rPr>
          <w:fldChar w:fldCharType="separate"/>
        </w:r>
        <w:r w:rsidR="003A35BB">
          <w:rPr>
            <w:noProof/>
            <w:webHidden/>
          </w:rPr>
          <w:t>8</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79" w:history="1">
        <w:r w:rsidR="003245AA" w:rsidRPr="007C4AD0">
          <w:rPr>
            <w:rStyle w:val="Hypertextovodkaz"/>
            <w:noProof/>
          </w:rPr>
          <w:t>Tab. 5 Vývoj počtu obyvatel SO ORP Jeseník mezi lety 1991 – 2015</w:t>
        </w:r>
        <w:r w:rsidR="003245AA">
          <w:rPr>
            <w:noProof/>
            <w:webHidden/>
          </w:rPr>
          <w:tab/>
        </w:r>
        <w:r w:rsidR="003245AA">
          <w:rPr>
            <w:noProof/>
            <w:webHidden/>
          </w:rPr>
          <w:fldChar w:fldCharType="begin"/>
        </w:r>
        <w:r w:rsidR="003245AA">
          <w:rPr>
            <w:noProof/>
            <w:webHidden/>
          </w:rPr>
          <w:instrText xml:space="preserve"> PAGEREF _Toc469908879 \h </w:instrText>
        </w:r>
        <w:r w:rsidR="003245AA">
          <w:rPr>
            <w:noProof/>
            <w:webHidden/>
          </w:rPr>
        </w:r>
        <w:r w:rsidR="003245AA">
          <w:rPr>
            <w:noProof/>
            <w:webHidden/>
          </w:rPr>
          <w:fldChar w:fldCharType="separate"/>
        </w:r>
        <w:r w:rsidR="003A35BB">
          <w:rPr>
            <w:noProof/>
            <w:webHidden/>
          </w:rPr>
          <w:t>10</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0" w:history="1">
        <w:r w:rsidR="003245AA" w:rsidRPr="007C4AD0">
          <w:rPr>
            <w:rStyle w:val="Hypertextovodkaz"/>
            <w:noProof/>
          </w:rPr>
          <w:t>Tab. 6 Předpokládaný vývoj počtu obyvatel SO ORP Jeseník do roku 2050</w:t>
        </w:r>
        <w:r w:rsidR="003245AA">
          <w:rPr>
            <w:noProof/>
            <w:webHidden/>
          </w:rPr>
          <w:tab/>
        </w:r>
        <w:r w:rsidR="003245AA">
          <w:rPr>
            <w:noProof/>
            <w:webHidden/>
          </w:rPr>
          <w:fldChar w:fldCharType="begin"/>
        </w:r>
        <w:r w:rsidR="003245AA">
          <w:rPr>
            <w:noProof/>
            <w:webHidden/>
          </w:rPr>
          <w:instrText xml:space="preserve"> PAGEREF _Toc469908880 \h </w:instrText>
        </w:r>
        <w:r w:rsidR="003245AA">
          <w:rPr>
            <w:noProof/>
            <w:webHidden/>
          </w:rPr>
        </w:r>
        <w:r w:rsidR="003245AA">
          <w:rPr>
            <w:noProof/>
            <w:webHidden/>
          </w:rPr>
          <w:fldChar w:fldCharType="separate"/>
        </w:r>
        <w:r w:rsidR="003A35BB">
          <w:rPr>
            <w:noProof/>
            <w:webHidden/>
          </w:rPr>
          <w:t>11</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1" w:history="1">
        <w:r w:rsidR="003245AA" w:rsidRPr="007C4AD0">
          <w:rPr>
            <w:rStyle w:val="Hypertextovodkaz"/>
            <w:noProof/>
          </w:rPr>
          <w:t>Tab. 7 Vývoj počtu obyvatel SO ORP Šumperk mezi lety 1991 – 2015</w:t>
        </w:r>
        <w:r w:rsidR="003245AA">
          <w:rPr>
            <w:noProof/>
            <w:webHidden/>
          </w:rPr>
          <w:tab/>
        </w:r>
        <w:r w:rsidR="003245AA">
          <w:rPr>
            <w:noProof/>
            <w:webHidden/>
          </w:rPr>
          <w:fldChar w:fldCharType="begin"/>
        </w:r>
        <w:r w:rsidR="003245AA">
          <w:rPr>
            <w:noProof/>
            <w:webHidden/>
          </w:rPr>
          <w:instrText xml:space="preserve"> PAGEREF _Toc469908881 \h </w:instrText>
        </w:r>
        <w:r w:rsidR="003245AA">
          <w:rPr>
            <w:noProof/>
            <w:webHidden/>
          </w:rPr>
        </w:r>
        <w:r w:rsidR="003245AA">
          <w:rPr>
            <w:noProof/>
            <w:webHidden/>
          </w:rPr>
          <w:fldChar w:fldCharType="separate"/>
        </w:r>
        <w:r w:rsidR="003A35BB">
          <w:rPr>
            <w:noProof/>
            <w:webHidden/>
          </w:rPr>
          <w:t>12</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2" w:history="1">
        <w:r w:rsidR="003245AA" w:rsidRPr="007C4AD0">
          <w:rPr>
            <w:rStyle w:val="Hypertextovodkaz"/>
            <w:noProof/>
          </w:rPr>
          <w:t>Tab. 8 Předpokládaný vývoj počtu obyvatel SO ORP Šumperk do roku 2050</w:t>
        </w:r>
        <w:r w:rsidR="003245AA">
          <w:rPr>
            <w:noProof/>
            <w:webHidden/>
          </w:rPr>
          <w:tab/>
        </w:r>
        <w:r w:rsidR="003245AA">
          <w:rPr>
            <w:noProof/>
            <w:webHidden/>
          </w:rPr>
          <w:fldChar w:fldCharType="begin"/>
        </w:r>
        <w:r w:rsidR="003245AA">
          <w:rPr>
            <w:noProof/>
            <w:webHidden/>
          </w:rPr>
          <w:instrText xml:space="preserve"> PAGEREF _Toc469908882 \h </w:instrText>
        </w:r>
        <w:r w:rsidR="003245AA">
          <w:rPr>
            <w:noProof/>
            <w:webHidden/>
          </w:rPr>
        </w:r>
        <w:r w:rsidR="003245AA">
          <w:rPr>
            <w:noProof/>
            <w:webHidden/>
          </w:rPr>
          <w:fldChar w:fldCharType="separate"/>
        </w:r>
        <w:r w:rsidR="003A35BB">
          <w:rPr>
            <w:noProof/>
            <w:webHidden/>
          </w:rPr>
          <w:t>13</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3" w:history="1">
        <w:r w:rsidR="003245AA" w:rsidRPr="007C4AD0">
          <w:rPr>
            <w:rStyle w:val="Hypertextovodkaz"/>
            <w:noProof/>
          </w:rPr>
          <w:t>Tab. 9 Vývoj počtu obyvatel SO ORP Zábřeh mezi lety 1991 – 2015</w:t>
        </w:r>
        <w:r w:rsidR="003245AA">
          <w:rPr>
            <w:noProof/>
            <w:webHidden/>
          </w:rPr>
          <w:tab/>
        </w:r>
        <w:r w:rsidR="003245AA">
          <w:rPr>
            <w:noProof/>
            <w:webHidden/>
          </w:rPr>
          <w:fldChar w:fldCharType="begin"/>
        </w:r>
        <w:r w:rsidR="003245AA">
          <w:rPr>
            <w:noProof/>
            <w:webHidden/>
          </w:rPr>
          <w:instrText xml:space="preserve"> PAGEREF _Toc469908883 \h </w:instrText>
        </w:r>
        <w:r w:rsidR="003245AA">
          <w:rPr>
            <w:noProof/>
            <w:webHidden/>
          </w:rPr>
        </w:r>
        <w:r w:rsidR="003245AA">
          <w:rPr>
            <w:noProof/>
            <w:webHidden/>
          </w:rPr>
          <w:fldChar w:fldCharType="separate"/>
        </w:r>
        <w:r w:rsidR="003A35BB">
          <w:rPr>
            <w:noProof/>
            <w:webHidden/>
          </w:rPr>
          <w:t>14</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4" w:history="1">
        <w:r w:rsidR="003245AA" w:rsidRPr="007C4AD0">
          <w:rPr>
            <w:rStyle w:val="Hypertextovodkaz"/>
            <w:noProof/>
          </w:rPr>
          <w:t>Tab. 10 Předpokládaný vývoj počtu obyvatel SO ORP Zábřeh do roku 2050</w:t>
        </w:r>
        <w:r w:rsidR="003245AA">
          <w:rPr>
            <w:noProof/>
            <w:webHidden/>
          </w:rPr>
          <w:tab/>
        </w:r>
        <w:r w:rsidR="003245AA">
          <w:rPr>
            <w:noProof/>
            <w:webHidden/>
          </w:rPr>
          <w:fldChar w:fldCharType="begin"/>
        </w:r>
        <w:r w:rsidR="003245AA">
          <w:rPr>
            <w:noProof/>
            <w:webHidden/>
          </w:rPr>
          <w:instrText xml:space="preserve"> PAGEREF _Toc469908884 \h </w:instrText>
        </w:r>
        <w:r w:rsidR="003245AA">
          <w:rPr>
            <w:noProof/>
            <w:webHidden/>
          </w:rPr>
        </w:r>
        <w:r w:rsidR="003245AA">
          <w:rPr>
            <w:noProof/>
            <w:webHidden/>
          </w:rPr>
          <w:fldChar w:fldCharType="separate"/>
        </w:r>
        <w:r w:rsidR="003A35BB">
          <w:rPr>
            <w:noProof/>
            <w:webHidden/>
          </w:rPr>
          <w:t>15</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5" w:history="1">
        <w:r w:rsidR="003245AA" w:rsidRPr="007C4AD0">
          <w:rPr>
            <w:rStyle w:val="Hypertextovodkaz"/>
            <w:noProof/>
          </w:rPr>
          <w:t>Tab. 11 Vývoj počtu obyvatel SO ORP Mohelnice mezi lety 1991 – 2015</w:t>
        </w:r>
        <w:r w:rsidR="003245AA">
          <w:rPr>
            <w:noProof/>
            <w:webHidden/>
          </w:rPr>
          <w:tab/>
        </w:r>
        <w:r w:rsidR="003245AA">
          <w:rPr>
            <w:noProof/>
            <w:webHidden/>
          </w:rPr>
          <w:fldChar w:fldCharType="begin"/>
        </w:r>
        <w:r w:rsidR="003245AA">
          <w:rPr>
            <w:noProof/>
            <w:webHidden/>
          </w:rPr>
          <w:instrText xml:space="preserve"> PAGEREF _Toc469908885 \h </w:instrText>
        </w:r>
        <w:r w:rsidR="003245AA">
          <w:rPr>
            <w:noProof/>
            <w:webHidden/>
          </w:rPr>
        </w:r>
        <w:r w:rsidR="003245AA">
          <w:rPr>
            <w:noProof/>
            <w:webHidden/>
          </w:rPr>
          <w:fldChar w:fldCharType="separate"/>
        </w:r>
        <w:r w:rsidR="003A35BB">
          <w:rPr>
            <w:noProof/>
            <w:webHidden/>
          </w:rPr>
          <w:t>16</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6" w:history="1">
        <w:r w:rsidR="003245AA" w:rsidRPr="007C4AD0">
          <w:rPr>
            <w:rStyle w:val="Hypertextovodkaz"/>
            <w:noProof/>
          </w:rPr>
          <w:t>Tab. 12 Předpokládaný vývoj počtu obyvatel SO ORP Mohelnice do roku 2050</w:t>
        </w:r>
        <w:r w:rsidR="003245AA">
          <w:rPr>
            <w:noProof/>
            <w:webHidden/>
          </w:rPr>
          <w:tab/>
        </w:r>
        <w:r w:rsidR="003245AA">
          <w:rPr>
            <w:noProof/>
            <w:webHidden/>
          </w:rPr>
          <w:fldChar w:fldCharType="begin"/>
        </w:r>
        <w:r w:rsidR="003245AA">
          <w:rPr>
            <w:noProof/>
            <w:webHidden/>
          </w:rPr>
          <w:instrText xml:space="preserve"> PAGEREF _Toc469908886 \h </w:instrText>
        </w:r>
        <w:r w:rsidR="003245AA">
          <w:rPr>
            <w:noProof/>
            <w:webHidden/>
          </w:rPr>
        </w:r>
        <w:r w:rsidR="003245AA">
          <w:rPr>
            <w:noProof/>
            <w:webHidden/>
          </w:rPr>
          <w:fldChar w:fldCharType="separate"/>
        </w:r>
        <w:r w:rsidR="003A35BB">
          <w:rPr>
            <w:noProof/>
            <w:webHidden/>
          </w:rPr>
          <w:t>17</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7" w:history="1">
        <w:r w:rsidR="003245AA" w:rsidRPr="007C4AD0">
          <w:rPr>
            <w:rStyle w:val="Hypertextovodkaz"/>
            <w:noProof/>
          </w:rPr>
          <w:t>Tab. 13 Vývoj počtu obyvatel SO ORP Litovel mezi lety 1991 – 2015</w:t>
        </w:r>
        <w:r w:rsidR="003245AA">
          <w:rPr>
            <w:noProof/>
            <w:webHidden/>
          </w:rPr>
          <w:tab/>
        </w:r>
        <w:r w:rsidR="003245AA">
          <w:rPr>
            <w:noProof/>
            <w:webHidden/>
          </w:rPr>
          <w:fldChar w:fldCharType="begin"/>
        </w:r>
        <w:r w:rsidR="003245AA">
          <w:rPr>
            <w:noProof/>
            <w:webHidden/>
          </w:rPr>
          <w:instrText xml:space="preserve"> PAGEREF _Toc469908887 \h </w:instrText>
        </w:r>
        <w:r w:rsidR="003245AA">
          <w:rPr>
            <w:noProof/>
            <w:webHidden/>
          </w:rPr>
        </w:r>
        <w:r w:rsidR="003245AA">
          <w:rPr>
            <w:noProof/>
            <w:webHidden/>
          </w:rPr>
          <w:fldChar w:fldCharType="separate"/>
        </w:r>
        <w:r w:rsidR="003A35BB">
          <w:rPr>
            <w:noProof/>
            <w:webHidden/>
          </w:rPr>
          <w:t>18</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8" w:history="1">
        <w:r w:rsidR="003245AA" w:rsidRPr="007C4AD0">
          <w:rPr>
            <w:rStyle w:val="Hypertextovodkaz"/>
            <w:noProof/>
          </w:rPr>
          <w:t>Tab. 14 Předpokládaný vývoj počtu obyvatel SO ORP Litovel do roku 2050</w:t>
        </w:r>
        <w:r w:rsidR="003245AA">
          <w:rPr>
            <w:noProof/>
            <w:webHidden/>
          </w:rPr>
          <w:tab/>
        </w:r>
        <w:r w:rsidR="003245AA">
          <w:rPr>
            <w:noProof/>
            <w:webHidden/>
          </w:rPr>
          <w:fldChar w:fldCharType="begin"/>
        </w:r>
        <w:r w:rsidR="003245AA">
          <w:rPr>
            <w:noProof/>
            <w:webHidden/>
          </w:rPr>
          <w:instrText xml:space="preserve"> PAGEREF _Toc469908888 \h </w:instrText>
        </w:r>
        <w:r w:rsidR="003245AA">
          <w:rPr>
            <w:noProof/>
            <w:webHidden/>
          </w:rPr>
        </w:r>
        <w:r w:rsidR="003245AA">
          <w:rPr>
            <w:noProof/>
            <w:webHidden/>
          </w:rPr>
          <w:fldChar w:fldCharType="separate"/>
        </w:r>
        <w:r w:rsidR="003A35BB">
          <w:rPr>
            <w:noProof/>
            <w:webHidden/>
          </w:rPr>
          <w:t>19</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89" w:history="1">
        <w:r w:rsidR="003245AA" w:rsidRPr="007C4AD0">
          <w:rPr>
            <w:rStyle w:val="Hypertextovodkaz"/>
            <w:noProof/>
          </w:rPr>
          <w:t>Tab. 15 Vývoj počtu obyvatel SO ORP Uničov mezi lety 1991 – 2015</w:t>
        </w:r>
        <w:r w:rsidR="003245AA">
          <w:rPr>
            <w:noProof/>
            <w:webHidden/>
          </w:rPr>
          <w:tab/>
        </w:r>
        <w:r w:rsidR="003245AA">
          <w:rPr>
            <w:noProof/>
            <w:webHidden/>
          </w:rPr>
          <w:fldChar w:fldCharType="begin"/>
        </w:r>
        <w:r w:rsidR="003245AA">
          <w:rPr>
            <w:noProof/>
            <w:webHidden/>
          </w:rPr>
          <w:instrText xml:space="preserve"> PAGEREF _Toc469908889 \h </w:instrText>
        </w:r>
        <w:r w:rsidR="003245AA">
          <w:rPr>
            <w:noProof/>
            <w:webHidden/>
          </w:rPr>
        </w:r>
        <w:r w:rsidR="003245AA">
          <w:rPr>
            <w:noProof/>
            <w:webHidden/>
          </w:rPr>
          <w:fldChar w:fldCharType="separate"/>
        </w:r>
        <w:r w:rsidR="003A35BB">
          <w:rPr>
            <w:noProof/>
            <w:webHidden/>
          </w:rPr>
          <w:t>20</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0" w:history="1">
        <w:r w:rsidR="003245AA" w:rsidRPr="007C4AD0">
          <w:rPr>
            <w:rStyle w:val="Hypertextovodkaz"/>
            <w:noProof/>
          </w:rPr>
          <w:t>Tab. 16 Předpokládaný vývoj počtu obyvatel SO ORP Uničov do roku 2050</w:t>
        </w:r>
        <w:r w:rsidR="003245AA">
          <w:rPr>
            <w:noProof/>
            <w:webHidden/>
          </w:rPr>
          <w:tab/>
        </w:r>
        <w:r w:rsidR="003245AA">
          <w:rPr>
            <w:noProof/>
            <w:webHidden/>
          </w:rPr>
          <w:fldChar w:fldCharType="begin"/>
        </w:r>
        <w:r w:rsidR="003245AA">
          <w:rPr>
            <w:noProof/>
            <w:webHidden/>
          </w:rPr>
          <w:instrText xml:space="preserve"> PAGEREF _Toc469908890 \h </w:instrText>
        </w:r>
        <w:r w:rsidR="003245AA">
          <w:rPr>
            <w:noProof/>
            <w:webHidden/>
          </w:rPr>
        </w:r>
        <w:r w:rsidR="003245AA">
          <w:rPr>
            <w:noProof/>
            <w:webHidden/>
          </w:rPr>
          <w:fldChar w:fldCharType="separate"/>
        </w:r>
        <w:r w:rsidR="003A35BB">
          <w:rPr>
            <w:noProof/>
            <w:webHidden/>
          </w:rPr>
          <w:t>21</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1" w:history="1">
        <w:r w:rsidR="003245AA" w:rsidRPr="007C4AD0">
          <w:rPr>
            <w:rStyle w:val="Hypertextovodkaz"/>
            <w:noProof/>
          </w:rPr>
          <w:t>Tab. 17 Vývoj počtu obyvatel SO ORP Šternberk mezi lety 1991 – 2015</w:t>
        </w:r>
        <w:r w:rsidR="003245AA">
          <w:rPr>
            <w:noProof/>
            <w:webHidden/>
          </w:rPr>
          <w:tab/>
        </w:r>
        <w:r w:rsidR="003245AA">
          <w:rPr>
            <w:noProof/>
            <w:webHidden/>
          </w:rPr>
          <w:fldChar w:fldCharType="begin"/>
        </w:r>
        <w:r w:rsidR="003245AA">
          <w:rPr>
            <w:noProof/>
            <w:webHidden/>
          </w:rPr>
          <w:instrText xml:space="preserve"> PAGEREF _Toc469908891 \h </w:instrText>
        </w:r>
        <w:r w:rsidR="003245AA">
          <w:rPr>
            <w:noProof/>
            <w:webHidden/>
          </w:rPr>
        </w:r>
        <w:r w:rsidR="003245AA">
          <w:rPr>
            <w:noProof/>
            <w:webHidden/>
          </w:rPr>
          <w:fldChar w:fldCharType="separate"/>
        </w:r>
        <w:r w:rsidR="003A35BB">
          <w:rPr>
            <w:noProof/>
            <w:webHidden/>
          </w:rPr>
          <w:t>22</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2" w:history="1">
        <w:r w:rsidR="003245AA" w:rsidRPr="007C4AD0">
          <w:rPr>
            <w:rStyle w:val="Hypertextovodkaz"/>
            <w:noProof/>
          </w:rPr>
          <w:t>Tab. 18 Předpokládaný vývoj počtu obyvatel SO ORP Šternberk do roku 2050</w:t>
        </w:r>
        <w:r w:rsidR="003245AA">
          <w:rPr>
            <w:noProof/>
            <w:webHidden/>
          </w:rPr>
          <w:tab/>
        </w:r>
        <w:r w:rsidR="003245AA">
          <w:rPr>
            <w:noProof/>
            <w:webHidden/>
          </w:rPr>
          <w:fldChar w:fldCharType="begin"/>
        </w:r>
        <w:r w:rsidR="003245AA">
          <w:rPr>
            <w:noProof/>
            <w:webHidden/>
          </w:rPr>
          <w:instrText xml:space="preserve"> PAGEREF _Toc469908892 \h </w:instrText>
        </w:r>
        <w:r w:rsidR="003245AA">
          <w:rPr>
            <w:noProof/>
            <w:webHidden/>
          </w:rPr>
        </w:r>
        <w:r w:rsidR="003245AA">
          <w:rPr>
            <w:noProof/>
            <w:webHidden/>
          </w:rPr>
          <w:fldChar w:fldCharType="separate"/>
        </w:r>
        <w:r w:rsidR="003A35BB">
          <w:rPr>
            <w:noProof/>
            <w:webHidden/>
          </w:rPr>
          <w:t>23</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3" w:history="1">
        <w:r w:rsidR="003245AA" w:rsidRPr="007C4AD0">
          <w:rPr>
            <w:rStyle w:val="Hypertextovodkaz"/>
            <w:noProof/>
          </w:rPr>
          <w:t>Tab. 19 Vývoj počtu obyvatel SO ORP Olomouc mezi lety 1991 – 2015</w:t>
        </w:r>
        <w:r w:rsidR="003245AA">
          <w:rPr>
            <w:noProof/>
            <w:webHidden/>
          </w:rPr>
          <w:tab/>
        </w:r>
        <w:r w:rsidR="003245AA">
          <w:rPr>
            <w:noProof/>
            <w:webHidden/>
          </w:rPr>
          <w:fldChar w:fldCharType="begin"/>
        </w:r>
        <w:r w:rsidR="003245AA">
          <w:rPr>
            <w:noProof/>
            <w:webHidden/>
          </w:rPr>
          <w:instrText xml:space="preserve"> PAGEREF _Toc469908893 \h </w:instrText>
        </w:r>
        <w:r w:rsidR="003245AA">
          <w:rPr>
            <w:noProof/>
            <w:webHidden/>
          </w:rPr>
        </w:r>
        <w:r w:rsidR="003245AA">
          <w:rPr>
            <w:noProof/>
            <w:webHidden/>
          </w:rPr>
          <w:fldChar w:fldCharType="separate"/>
        </w:r>
        <w:r w:rsidR="003A35BB">
          <w:rPr>
            <w:noProof/>
            <w:webHidden/>
          </w:rPr>
          <w:t>24</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4" w:history="1">
        <w:r w:rsidR="003245AA" w:rsidRPr="007C4AD0">
          <w:rPr>
            <w:rStyle w:val="Hypertextovodkaz"/>
            <w:noProof/>
          </w:rPr>
          <w:t>Tab. 20 Předpokládaný vývoj počtu obyvatel SO ORP Olomouc do roku 2050</w:t>
        </w:r>
        <w:r w:rsidR="003245AA">
          <w:rPr>
            <w:noProof/>
            <w:webHidden/>
          </w:rPr>
          <w:tab/>
        </w:r>
        <w:r w:rsidR="003245AA">
          <w:rPr>
            <w:noProof/>
            <w:webHidden/>
          </w:rPr>
          <w:fldChar w:fldCharType="begin"/>
        </w:r>
        <w:r w:rsidR="003245AA">
          <w:rPr>
            <w:noProof/>
            <w:webHidden/>
          </w:rPr>
          <w:instrText xml:space="preserve"> PAGEREF _Toc469908894 \h </w:instrText>
        </w:r>
        <w:r w:rsidR="003245AA">
          <w:rPr>
            <w:noProof/>
            <w:webHidden/>
          </w:rPr>
        </w:r>
        <w:r w:rsidR="003245AA">
          <w:rPr>
            <w:noProof/>
            <w:webHidden/>
          </w:rPr>
          <w:fldChar w:fldCharType="separate"/>
        </w:r>
        <w:r w:rsidR="003A35BB">
          <w:rPr>
            <w:noProof/>
            <w:webHidden/>
          </w:rPr>
          <w:t>25</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5" w:history="1">
        <w:r w:rsidR="003245AA" w:rsidRPr="007C4AD0">
          <w:rPr>
            <w:rStyle w:val="Hypertextovodkaz"/>
            <w:noProof/>
          </w:rPr>
          <w:t>Tab. 21 Vývoj počtu obyvatel SO ORP Prostějov mezi lety 1991 – 2015</w:t>
        </w:r>
        <w:r w:rsidR="003245AA">
          <w:rPr>
            <w:noProof/>
            <w:webHidden/>
          </w:rPr>
          <w:tab/>
        </w:r>
        <w:r w:rsidR="003245AA">
          <w:rPr>
            <w:noProof/>
            <w:webHidden/>
          </w:rPr>
          <w:fldChar w:fldCharType="begin"/>
        </w:r>
        <w:r w:rsidR="003245AA">
          <w:rPr>
            <w:noProof/>
            <w:webHidden/>
          </w:rPr>
          <w:instrText xml:space="preserve"> PAGEREF _Toc469908895 \h </w:instrText>
        </w:r>
        <w:r w:rsidR="003245AA">
          <w:rPr>
            <w:noProof/>
            <w:webHidden/>
          </w:rPr>
        </w:r>
        <w:r w:rsidR="003245AA">
          <w:rPr>
            <w:noProof/>
            <w:webHidden/>
          </w:rPr>
          <w:fldChar w:fldCharType="separate"/>
        </w:r>
        <w:r w:rsidR="003A35BB">
          <w:rPr>
            <w:noProof/>
            <w:webHidden/>
          </w:rPr>
          <w:t>26</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6" w:history="1">
        <w:r w:rsidR="003245AA" w:rsidRPr="007C4AD0">
          <w:rPr>
            <w:rStyle w:val="Hypertextovodkaz"/>
            <w:noProof/>
          </w:rPr>
          <w:t>Tab. 22 Předpokládaný vývoj počtu obyvatel SO ORP Prostějov do roku 2050</w:t>
        </w:r>
        <w:r w:rsidR="003245AA">
          <w:rPr>
            <w:noProof/>
            <w:webHidden/>
          </w:rPr>
          <w:tab/>
        </w:r>
        <w:r w:rsidR="003245AA">
          <w:rPr>
            <w:noProof/>
            <w:webHidden/>
          </w:rPr>
          <w:fldChar w:fldCharType="begin"/>
        </w:r>
        <w:r w:rsidR="003245AA">
          <w:rPr>
            <w:noProof/>
            <w:webHidden/>
          </w:rPr>
          <w:instrText xml:space="preserve"> PAGEREF _Toc469908896 \h </w:instrText>
        </w:r>
        <w:r w:rsidR="003245AA">
          <w:rPr>
            <w:noProof/>
            <w:webHidden/>
          </w:rPr>
        </w:r>
        <w:r w:rsidR="003245AA">
          <w:rPr>
            <w:noProof/>
            <w:webHidden/>
          </w:rPr>
          <w:fldChar w:fldCharType="separate"/>
        </w:r>
        <w:r w:rsidR="003A35BB">
          <w:rPr>
            <w:noProof/>
            <w:webHidden/>
          </w:rPr>
          <w:t>27</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7" w:history="1">
        <w:r w:rsidR="003245AA" w:rsidRPr="007C4AD0">
          <w:rPr>
            <w:rStyle w:val="Hypertextovodkaz"/>
            <w:noProof/>
          </w:rPr>
          <w:t>Tab. 23 Vývoj počtu obyvatel SO ORP Konice mezi lety 1991 – 2015</w:t>
        </w:r>
        <w:r w:rsidR="003245AA">
          <w:rPr>
            <w:noProof/>
            <w:webHidden/>
          </w:rPr>
          <w:tab/>
        </w:r>
        <w:r w:rsidR="003245AA">
          <w:rPr>
            <w:noProof/>
            <w:webHidden/>
          </w:rPr>
          <w:fldChar w:fldCharType="begin"/>
        </w:r>
        <w:r w:rsidR="003245AA">
          <w:rPr>
            <w:noProof/>
            <w:webHidden/>
          </w:rPr>
          <w:instrText xml:space="preserve"> PAGEREF _Toc469908897 \h </w:instrText>
        </w:r>
        <w:r w:rsidR="003245AA">
          <w:rPr>
            <w:noProof/>
            <w:webHidden/>
          </w:rPr>
        </w:r>
        <w:r w:rsidR="003245AA">
          <w:rPr>
            <w:noProof/>
            <w:webHidden/>
          </w:rPr>
          <w:fldChar w:fldCharType="separate"/>
        </w:r>
        <w:r w:rsidR="003A35BB">
          <w:rPr>
            <w:noProof/>
            <w:webHidden/>
          </w:rPr>
          <w:t>28</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8" w:history="1">
        <w:r w:rsidR="003245AA" w:rsidRPr="007C4AD0">
          <w:rPr>
            <w:rStyle w:val="Hypertextovodkaz"/>
            <w:noProof/>
          </w:rPr>
          <w:t>Tab. 24 Předpokládaný vývoj počtu obyvatel SO ORP Konice do roku 2050</w:t>
        </w:r>
        <w:r w:rsidR="003245AA">
          <w:rPr>
            <w:noProof/>
            <w:webHidden/>
          </w:rPr>
          <w:tab/>
        </w:r>
        <w:r w:rsidR="003245AA">
          <w:rPr>
            <w:noProof/>
            <w:webHidden/>
          </w:rPr>
          <w:fldChar w:fldCharType="begin"/>
        </w:r>
        <w:r w:rsidR="003245AA">
          <w:rPr>
            <w:noProof/>
            <w:webHidden/>
          </w:rPr>
          <w:instrText xml:space="preserve"> PAGEREF _Toc469908898 \h </w:instrText>
        </w:r>
        <w:r w:rsidR="003245AA">
          <w:rPr>
            <w:noProof/>
            <w:webHidden/>
          </w:rPr>
        </w:r>
        <w:r w:rsidR="003245AA">
          <w:rPr>
            <w:noProof/>
            <w:webHidden/>
          </w:rPr>
          <w:fldChar w:fldCharType="separate"/>
        </w:r>
        <w:r w:rsidR="003A35BB">
          <w:rPr>
            <w:noProof/>
            <w:webHidden/>
          </w:rPr>
          <w:t>29</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899" w:history="1">
        <w:r w:rsidR="003245AA" w:rsidRPr="007C4AD0">
          <w:rPr>
            <w:rStyle w:val="Hypertextovodkaz"/>
            <w:noProof/>
          </w:rPr>
          <w:t>Tab. 25 Vývoj počtu obyvatel SO ORP Přerov mezi lety 1991 – 2015</w:t>
        </w:r>
        <w:r w:rsidR="003245AA">
          <w:rPr>
            <w:noProof/>
            <w:webHidden/>
          </w:rPr>
          <w:tab/>
        </w:r>
        <w:r w:rsidR="003245AA">
          <w:rPr>
            <w:noProof/>
            <w:webHidden/>
          </w:rPr>
          <w:fldChar w:fldCharType="begin"/>
        </w:r>
        <w:r w:rsidR="003245AA">
          <w:rPr>
            <w:noProof/>
            <w:webHidden/>
          </w:rPr>
          <w:instrText xml:space="preserve"> PAGEREF _Toc469908899 \h </w:instrText>
        </w:r>
        <w:r w:rsidR="003245AA">
          <w:rPr>
            <w:noProof/>
            <w:webHidden/>
          </w:rPr>
        </w:r>
        <w:r w:rsidR="003245AA">
          <w:rPr>
            <w:noProof/>
            <w:webHidden/>
          </w:rPr>
          <w:fldChar w:fldCharType="separate"/>
        </w:r>
        <w:r w:rsidR="003A35BB">
          <w:rPr>
            <w:noProof/>
            <w:webHidden/>
          </w:rPr>
          <w:t>30</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900" w:history="1">
        <w:r w:rsidR="003245AA" w:rsidRPr="007C4AD0">
          <w:rPr>
            <w:rStyle w:val="Hypertextovodkaz"/>
            <w:noProof/>
          </w:rPr>
          <w:t>Tab. 26 Předpokládaný vývoj počtu obyvatel SO ORP Přerov do roku 2050</w:t>
        </w:r>
        <w:r w:rsidR="003245AA">
          <w:rPr>
            <w:noProof/>
            <w:webHidden/>
          </w:rPr>
          <w:tab/>
        </w:r>
        <w:r w:rsidR="003245AA">
          <w:rPr>
            <w:noProof/>
            <w:webHidden/>
          </w:rPr>
          <w:fldChar w:fldCharType="begin"/>
        </w:r>
        <w:r w:rsidR="003245AA">
          <w:rPr>
            <w:noProof/>
            <w:webHidden/>
          </w:rPr>
          <w:instrText xml:space="preserve"> PAGEREF _Toc469908900 \h </w:instrText>
        </w:r>
        <w:r w:rsidR="003245AA">
          <w:rPr>
            <w:noProof/>
            <w:webHidden/>
          </w:rPr>
        </w:r>
        <w:r w:rsidR="003245AA">
          <w:rPr>
            <w:noProof/>
            <w:webHidden/>
          </w:rPr>
          <w:fldChar w:fldCharType="separate"/>
        </w:r>
        <w:r w:rsidR="003A35BB">
          <w:rPr>
            <w:noProof/>
            <w:webHidden/>
          </w:rPr>
          <w:t>31</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901" w:history="1">
        <w:r w:rsidR="003245AA" w:rsidRPr="007C4AD0">
          <w:rPr>
            <w:rStyle w:val="Hypertextovodkaz"/>
            <w:noProof/>
          </w:rPr>
          <w:t>Tab. 27 Vývoj počtu obyvatel SO ORP Lipník nad Bečvou mezi lety 1991 – 2015</w:t>
        </w:r>
        <w:r w:rsidR="003245AA">
          <w:rPr>
            <w:noProof/>
            <w:webHidden/>
          </w:rPr>
          <w:tab/>
        </w:r>
        <w:r w:rsidR="003245AA">
          <w:rPr>
            <w:noProof/>
            <w:webHidden/>
          </w:rPr>
          <w:fldChar w:fldCharType="begin"/>
        </w:r>
        <w:r w:rsidR="003245AA">
          <w:rPr>
            <w:noProof/>
            <w:webHidden/>
          </w:rPr>
          <w:instrText xml:space="preserve"> PAGEREF _Toc469908901 \h </w:instrText>
        </w:r>
        <w:r w:rsidR="003245AA">
          <w:rPr>
            <w:noProof/>
            <w:webHidden/>
          </w:rPr>
        </w:r>
        <w:r w:rsidR="003245AA">
          <w:rPr>
            <w:noProof/>
            <w:webHidden/>
          </w:rPr>
          <w:fldChar w:fldCharType="separate"/>
        </w:r>
        <w:r w:rsidR="003A35BB">
          <w:rPr>
            <w:noProof/>
            <w:webHidden/>
          </w:rPr>
          <w:t>32</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902" w:history="1">
        <w:r w:rsidR="003245AA" w:rsidRPr="007C4AD0">
          <w:rPr>
            <w:rStyle w:val="Hypertextovodkaz"/>
            <w:noProof/>
          </w:rPr>
          <w:t>Tab. 28 Předpokládaný vývoj počtu obyvatel SO ORP Lipník nad Bečvou do roku 2050</w:t>
        </w:r>
        <w:r w:rsidR="003245AA">
          <w:rPr>
            <w:noProof/>
            <w:webHidden/>
          </w:rPr>
          <w:tab/>
        </w:r>
        <w:r w:rsidR="003245AA">
          <w:rPr>
            <w:noProof/>
            <w:webHidden/>
          </w:rPr>
          <w:fldChar w:fldCharType="begin"/>
        </w:r>
        <w:r w:rsidR="003245AA">
          <w:rPr>
            <w:noProof/>
            <w:webHidden/>
          </w:rPr>
          <w:instrText xml:space="preserve"> PAGEREF _Toc469908902 \h </w:instrText>
        </w:r>
        <w:r w:rsidR="003245AA">
          <w:rPr>
            <w:noProof/>
            <w:webHidden/>
          </w:rPr>
        </w:r>
        <w:r w:rsidR="003245AA">
          <w:rPr>
            <w:noProof/>
            <w:webHidden/>
          </w:rPr>
          <w:fldChar w:fldCharType="separate"/>
        </w:r>
        <w:r w:rsidR="003A35BB">
          <w:rPr>
            <w:noProof/>
            <w:webHidden/>
          </w:rPr>
          <w:t>33</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903" w:history="1">
        <w:r w:rsidR="003245AA" w:rsidRPr="007C4AD0">
          <w:rPr>
            <w:rStyle w:val="Hypertextovodkaz"/>
            <w:noProof/>
          </w:rPr>
          <w:t>Tab. 29 Vývoj počtu obyvatel SO ORP Hranice mezi lety 1991 – 2015</w:t>
        </w:r>
        <w:r w:rsidR="003245AA">
          <w:rPr>
            <w:noProof/>
            <w:webHidden/>
          </w:rPr>
          <w:tab/>
        </w:r>
        <w:r w:rsidR="003245AA">
          <w:rPr>
            <w:noProof/>
            <w:webHidden/>
          </w:rPr>
          <w:fldChar w:fldCharType="begin"/>
        </w:r>
        <w:r w:rsidR="003245AA">
          <w:rPr>
            <w:noProof/>
            <w:webHidden/>
          </w:rPr>
          <w:instrText xml:space="preserve"> PAGEREF _Toc469908903 \h </w:instrText>
        </w:r>
        <w:r w:rsidR="003245AA">
          <w:rPr>
            <w:noProof/>
            <w:webHidden/>
          </w:rPr>
        </w:r>
        <w:r w:rsidR="003245AA">
          <w:rPr>
            <w:noProof/>
            <w:webHidden/>
          </w:rPr>
          <w:fldChar w:fldCharType="separate"/>
        </w:r>
        <w:r w:rsidR="003A35BB">
          <w:rPr>
            <w:noProof/>
            <w:webHidden/>
          </w:rPr>
          <w:t>34</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904" w:history="1">
        <w:r w:rsidR="003245AA" w:rsidRPr="007C4AD0">
          <w:rPr>
            <w:rStyle w:val="Hypertextovodkaz"/>
            <w:noProof/>
          </w:rPr>
          <w:t>Tab. 30 Předpokládaný vývoj počtu obyvatel SO ORP Hranice do roku 2050</w:t>
        </w:r>
        <w:r w:rsidR="003245AA">
          <w:rPr>
            <w:noProof/>
            <w:webHidden/>
          </w:rPr>
          <w:tab/>
        </w:r>
        <w:r w:rsidR="003245AA">
          <w:rPr>
            <w:noProof/>
            <w:webHidden/>
          </w:rPr>
          <w:fldChar w:fldCharType="begin"/>
        </w:r>
        <w:r w:rsidR="003245AA">
          <w:rPr>
            <w:noProof/>
            <w:webHidden/>
          </w:rPr>
          <w:instrText xml:space="preserve"> PAGEREF _Toc469908904 \h </w:instrText>
        </w:r>
        <w:r w:rsidR="003245AA">
          <w:rPr>
            <w:noProof/>
            <w:webHidden/>
          </w:rPr>
        </w:r>
        <w:r w:rsidR="003245AA">
          <w:rPr>
            <w:noProof/>
            <w:webHidden/>
          </w:rPr>
          <w:fldChar w:fldCharType="separate"/>
        </w:r>
        <w:r w:rsidR="003A35BB">
          <w:rPr>
            <w:noProof/>
            <w:webHidden/>
          </w:rPr>
          <w:t>35</w:t>
        </w:r>
        <w:r w:rsidR="003245AA">
          <w:rPr>
            <w:noProof/>
            <w:webHidden/>
          </w:rPr>
          <w:fldChar w:fldCharType="end"/>
        </w:r>
      </w:hyperlink>
    </w:p>
    <w:p w:rsidR="003245AA" w:rsidRDefault="005D1BD9">
      <w:pPr>
        <w:pStyle w:val="Seznamobrzk"/>
        <w:tabs>
          <w:tab w:val="right" w:leader="dot" w:pos="9062"/>
        </w:tabs>
        <w:rPr>
          <w:rFonts w:cstheme="minorBidi"/>
          <w:noProof/>
          <w:szCs w:val="22"/>
          <w:lang w:eastAsia="cs-CZ"/>
        </w:rPr>
      </w:pPr>
      <w:hyperlink w:anchor="_Toc469908905" w:history="1">
        <w:r w:rsidR="003245AA" w:rsidRPr="007C4AD0">
          <w:rPr>
            <w:rStyle w:val="Hypertextovodkaz"/>
            <w:noProof/>
          </w:rPr>
          <w:t>Tab. 31 Počet obcí v Olomouckém kraji podle počtu obyvatel</w:t>
        </w:r>
        <w:r w:rsidR="003245AA">
          <w:rPr>
            <w:noProof/>
            <w:webHidden/>
          </w:rPr>
          <w:tab/>
        </w:r>
        <w:r w:rsidR="003245AA">
          <w:rPr>
            <w:noProof/>
            <w:webHidden/>
          </w:rPr>
          <w:fldChar w:fldCharType="begin"/>
        </w:r>
        <w:r w:rsidR="003245AA">
          <w:rPr>
            <w:noProof/>
            <w:webHidden/>
          </w:rPr>
          <w:instrText xml:space="preserve"> PAGEREF _Toc469908905 \h </w:instrText>
        </w:r>
        <w:r w:rsidR="003245AA">
          <w:rPr>
            <w:noProof/>
            <w:webHidden/>
          </w:rPr>
        </w:r>
        <w:r w:rsidR="003245AA">
          <w:rPr>
            <w:noProof/>
            <w:webHidden/>
          </w:rPr>
          <w:fldChar w:fldCharType="separate"/>
        </w:r>
        <w:r w:rsidR="003A35BB">
          <w:rPr>
            <w:noProof/>
            <w:webHidden/>
          </w:rPr>
          <w:t>36</w:t>
        </w:r>
        <w:r w:rsidR="003245AA">
          <w:rPr>
            <w:noProof/>
            <w:webHidden/>
          </w:rPr>
          <w:fldChar w:fldCharType="end"/>
        </w:r>
      </w:hyperlink>
    </w:p>
    <w:p w:rsidR="00C7303A" w:rsidRDefault="00C7303A" w:rsidP="00C7303A">
      <w:r>
        <w:fldChar w:fldCharType="end"/>
      </w:r>
    </w:p>
    <w:p w:rsidR="00C7303A" w:rsidRDefault="00C7303A">
      <w:pPr>
        <w:spacing w:before="0" w:after="0"/>
        <w:jc w:val="left"/>
      </w:pPr>
    </w:p>
    <w:sectPr w:rsidR="00C7303A">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957" w:rsidRDefault="00190957" w:rsidP="00B6129A">
      <w:pPr>
        <w:spacing w:before="0" w:after="0"/>
      </w:pPr>
      <w:r>
        <w:separator/>
      </w:r>
    </w:p>
  </w:endnote>
  <w:endnote w:type="continuationSeparator" w:id="0">
    <w:p w:rsidR="00190957" w:rsidRDefault="00190957" w:rsidP="00B6129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CC" w:rsidRDefault="002A2AC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D22" w:rsidRDefault="00A91D22" w:rsidP="00A91D22">
    <w:pPr>
      <w:pStyle w:val="Zpat"/>
      <w:pBdr>
        <w:bottom w:val="single" w:sz="6" w:space="1" w:color="auto"/>
      </w:pBdr>
      <w:rPr>
        <w:i/>
        <w:sz w:val="20"/>
        <w:szCs w:val="20"/>
      </w:rPr>
    </w:pPr>
  </w:p>
  <w:p w:rsidR="00A91D22" w:rsidRDefault="005D1BD9" w:rsidP="00A91D22">
    <w:pPr>
      <w:pStyle w:val="Zpat"/>
      <w:rPr>
        <w:i/>
        <w:sz w:val="20"/>
        <w:szCs w:val="20"/>
      </w:rPr>
    </w:pPr>
    <w:r>
      <w:rPr>
        <w:i/>
        <w:sz w:val="20"/>
        <w:szCs w:val="20"/>
      </w:rPr>
      <w:t>Zastupitelstvo</w:t>
    </w:r>
    <w:r w:rsidR="00A91D22">
      <w:rPr>
        <w:i/>
        <w:sz w:val="20"/>
        <w:szCs w:val="20"/>
      </w:rPr>
      <w:t xml:space="preserve"> Olomouckého kraje dne </w:t>
    </w:r>
    <w:r>
      <w:rPr>
        <w:i/>
        <w:sz w:val="20"/>
        <w:szCs w:val="20"/>
      </w:rPr>
      <w:t>17. 12</w:t>
    </w:r>
    <w:r w:rsidR="00A91D22">
      <w:rPr>
        <w:i/>
        <w:sz w:val="20"/>
        <w:szCs w:val="20"/>
      </w:rPr>
      <w:t>. 2018</w:t>
    </w:r>
    <w:r w:rsidR="00D96609">
      <w:rPr>
        <w:i/>
        <w:sz w:val="20"/>
        <w:szCs w:val="20"/>
      </w:rPr>
      <w:tab/>
    </w:r>
    <w:r w:rsidR="00D96609">
      <w:rPr>
        <w:i/>
        <w:sz w:val="20"/>
        <w:szCs w:val="20"/>
      </w:rPr>
      <w:tab/>
    </w:r>
    <w:r w:rsidR="00D96609" w:rsidRPr="00D96609">
      <w:rPr>
        <w:i/>
        <w:sz w:val="20"/>
        <w:szCs w:val="20"/>
      </w:rPr>
      <w:t xml:space="preserve">Strana  </w:t>
    </w:r>
    <w:r w:rsidR="00D96609" w:rsidRPr="00D96609">
      <w:rPr>
        <w:i/>
        <w:sz w:val="20"/>
        <w:szCs w:val="20"/>
      </w:rPr>
      <w:fldChar w:fldCharType="begin"/>
    </w:r>
    <w:r w:rsidR="00D96609" w:rsidRPr="00D96609">
      <w:rPr>
        <w:i/>
        <w:sz w:val="20"/>
        <w:szCs w:val="20"/>
      </w:rPr>
      <w:instrText xml:space="preserve"> PAGE </w:instrText>
    </w:r>
    <w:r w:rsidR="00D96609" w:rsidRPr="00D96609">
      <w:rPr>
        <w:i/>
        <w:sz w:val="20"/>
        <w:szCs w:val="20"/>
      </w:rPr>
      <w:fldChar w:fldCharType="separate"/>
    </w:r>
    <w:r>
      <w:rPr>
        <w:i/>
        <w:noProof/>
        <w:sz w:val="20"/>
        <w:szCs w:val="20"/>
      </w:rPr>
      <w:t>94</w:t>
    </w:r>
    <w:r w:rsidR="00D96609" w:rsidRPr="00D96609">
      <w:rPr>
        <w:i/>
        <w:sz w:val="20"/>
        <w:szCs w:val="20"/>
      </w:rPr>
      <w:fldChar w:fldCharType="end"/>
    </w:r>
    <w:r w:rsidR="00D96609" w:rsidRPr="00D96609">
      <w:rPr>
        <w:i/>
        <w:sz w:val="20"/>
        <w:szCs w:val="20"/>
      </w:rPr>
      <w:t xml:space="preserve"> (celkem 2</w:t>
    </w:r>
    <w:r w:rsidR="00FE34CA">
      <w:rPr>
        <w:i/>
        <w:sz w:val="20"/>
        <w:szCs w:val="20"/>
      </w:rPr>
      <w:t>1</w:t>
    </w:r>
    <w:r w:rsidR="00D96609" w:rsidRPr="00D96609">
      <w:rPr>
        <w:i/>
        <w:sz w:val="20"/>
        <w:szCs w:val="20"/>
      </w:rPr>
      <w:t>0)</w:t>
    </w:r>
  </w:p>
  <w:p w:rsidR="00A91D22" w:rsidRDefault="005D1BD9" w:rsidP="00A91D22">
    <w:pPr>
      <w:pStyle w:val="Zpat"/>
      <w:rPr>
        <w:i/>
        <w:sz w:val="20"/>
        <w:szCs w:val="20"/>
      </w:rPr>
    </w:pPr>
    <w:proofErr w:type="gramStart"/>
    <w:r>
      <w:rPr>
        <w:i/>
        <w:sz w:val="20"/>
        <w:szCs w:val="20"/>
      </w:rPr>
      <w:t>42</w:t>
    </w:r>
    <w:r w:rsidR="0036324A" w:rsidRPr="0036324A">
      <w:rPr>
        <w:i/>
        <w:sz w:val="20"/>
        <w:szCs w:val="20"/>
      </w:rPr>
      <w:t>.</w:t>
    </w:r>
    <w:r w:rsidR="00A91D22">
      <w:rPr>
        <w:i/>
        <w:sz w:val="20"/>
        <w:szCs w:val="20"/>
      </w:rPr>
      <w:t>-</w:t>
    </w:r>
    <w:r w:rsidR="0036324A">
      <w:rPr>
        <w:i/>
        <w:sz w:val="20"/>
        <w:szCs w:val="20"/>
      </w:rPr>
      <w:t xml:space="preserve"> </w:t>
    </w:r>
    <w:r w:rsidR="00A91D22">
      <w:rPr>
        <w:i/>
        <w:sz w:val="20"/>
        <w:szCs w:val="20"/>
      </w:rPr>
      <w:t>Plán</w:t>
    </w:r>
    <w:proofErr w:type="gramEnd"/>
    <w:r w:rsidR="00A91D22">
      <w:rPr>
        <w:i/>
        <w:sz w:val="20"/>
        <w:szCs w:val="20"/>
      </w:rPr>
      <w:t xml:space="preserve"> rozvoje vodovodů a kanalizací Olomouckého kraje</w:t>
    </w:r>
  </w:p>
  <w:p w:rsidR="00A91D22" w:rsidRDefault="00A91D22" w:rsidP="00A91D22">
    <w:pPr>
      <w:pStyle w:val="Zpat"/>
      <w:rPr>
        <w:i/>
        <w:sz w:val="20"/>
        <w:szCs w:val="20"/>
      </w:rPr>
    </w:pPr>
    <w:r>
      <w:rPr>
        <w:i/>
        <w:sz w:val="20"/>
        <w:szCs w:val="20"/>
      </w:rPr>
      <w:t>Příloha č. 2 – Demografický vývoj</w:t>
    </w:r>
  </w:p>
  <w:p w:rsidR="00A91D22" w:rsidRDefault="00A91D2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CC" w:rsidRDefault="002A2ACC">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39216"/>
      <w:docPartObj>
        <w:docPartGallery w:val="Page Numbers (Bottom of Page)"/>
        <w:docPartUnique/>
      </w:docPartObj>
    </w:sdtPr>
    <w:sdtEndPr/>
    <w:sdtContent>
      <w:p w:rsidR="00190957" w:rsidRDefault="00190957">
        <w:pPr>
          <w:pStyle w:val="Zpat"/>
          <w:pBdr>
            <w:bottom w:val="single" w:sz="6" w:space="1" w:color="auto"/>
          </w:pBdr>
          <w:jc w:val="center"/>
        </w:pPr>
      </w:p>
      <w:p w:rsidR="00190957" w:rsidRDefault="005D1BD9">
        <w:pPr>
          <w:pStyle w:val="Zpat"/>
          <w:jc w:val="center"/>
        </w:pPr>
        <w:r>
          <w:rPr>
            <w:i/>
            <w:sz w:val="20"/>
            <w:szCs w:val="20"/>
          </w:rPr>
          <w:t>Zastupitelstvo</w:t>
        </w:r>
        <w:r w:rsidR="00D96609">
          <w:rPr>
            <w:i/>
            <w:sz w:val="20"/>
            <w:szCs w:val="20"/>
          </w:rPr>
          <w:t xml:space="preserve"> Olomouckého kraje dne </w:t>
        </w:r>
        <w:r>
          <w:rPr>
            <w:i/>
            <w:sz w:val="20"/>
            <w:szCs w:val="20"/>
          </w:rPr>
          <w:t>17. 12</w:t>
        </w:r>
        <w:r w:rsidR="00D96609">
          <w:rPr>
            <w:i/>
            <w:sz w:val="20"/>
            <w:szCs w:val="20"/>
          </w:rPr>
          <w:t>. 2018</w:t>
        </w:r>
        <w:r w:rsidR="00190957">
          <w:tab/>
        </w:r>
        <w:r w:rsidR="00190957">
          <w:tab/>
        </w:r>
        <w:r w:rsidR="00D96609" w:rsidRPr="00D96609">
          <w:rPr>
            <w:i/>
            <w:sz w:val="20"/>
            <w:szCs w:val="20"/>
          </w:rPr>
          <w:t xml:space="preserve">Strana  </w:t>
        </w:r>
        <w:r w:rsidR="00D96609" w:rsidRPr="00D96609">
          <w:rPr>
            <w:i/>
            <w:sz w:val="20"/>
            <w:szCs w:val="20"/>
          </w:rPr>
          <w:fldChar w:fldCharType="begin"/>
        </w:r>
        <w:r w:rsidR="00D96609" w:rsidRPr="00D96609">
          <w:rPr>
            <w:i/>
            <w:sz w:val="20"/>
            <w:szCs w:val="20"/>
          </w:rPr>
          <w:instrText xml:space="preserve"> PAGE </w:instrText>
        </w:r>
        <w:r w:rsidR="00D96609" w:rsidRPr="00D96609">
          <w:rPr>
            <w:i/>
            <w:sz w:val="20"/>
            <w:szCs w:val="20"/>
          </w:rPr>
          <w:fldChar w:fldCharType="separate"/>
        </w:r>
        <w:r>
          <w:rPr>
            <w:i/>
            <w:noProof/>
            <w:sz w:val="20"/>
            <w:szCs w:val="20"/>
          </w:rPr>
          <w:t>132</w:t>
        </w:r>
        <w:r w:rsidR="00D96609" w:rsidRPr="00D96609">
          <w:rPr>
            <w:i/>
            <w:sz w:val="20"/>
            <w:szCs w:val="20"/>
          </w:rPr>
          <w:fldChar w:fldCharType="end"/>
        </w:r>
        <w:r w:rsidR="00D96609" w:rsidRPr="00D96609">
          <w:rPr>
            <w:i/>
            <w:sz w:val="20"/>
            <w:szCs w:val="20"/>
          </w:rPr>
          <w:t xml:space="preserve"> (celkem 2</w:t>
        </w:r>
        <w:r w:rsidR="00FE34CA">
          <w:rPr>
            <w:i/>
            <w:sz w:val="20"/>
            <w:szCs w:val="20"/>
          </w:rPr>
          <w:t>1</w:t>
        </w:r>
        <w:r w:rsidR="00D96609" w:rsidRPr="00D96609">
          <w:rPr>
            <w:i/>
            <w:sz w:val="20"/>
            <w:szCs w:val="20"/>
          </w:rPr>
          <w:t>0)</w:t>
        </w:r>
      </w:p>
    </w:sdtContent>
  </w:sdt>
  <w:p w:rsidR="00D96609" w:rsidRDefault="005D1BD9" w:rsidP="00D96609">
    <w:pPr>
      <w:pStyle w:val="Zpat"/>
      <w:rPr>
        <w:i/>
        <w:sz w:val="20"/>
        <w:szCs w:val="20"/>
      </w:rPr>
    </w:pPr>
    <w:r>
      <w:rPr>
        <w:i/>
        <w:sz w:val="20"/>
        <w:szCs w:val="20"/>
      </w:rPr>
      <w:t>42</w:t>
    </w:r>
    <w:bookmarkStart w:id="71" w:name="_GoBack"/>
    <w:bookmarkEnd w:id="71"/>
    <w:r w:rsidR="0036324A" w:rsidRPr="0036324A">
      <w:rPr>
        <w:i/>
        <w:sz w:val="20"/>
        <w:szCs w:val="20"/>
      </w:rPr>
      <w:t>.</w:t>
    </w:r>
    <w:r w:rsidR="00D96609">
      <w:rPr>
        <w:i/>
        <w:sz w:val="20"/>
        <w:szCs w:val="20"/>
      </w:rPr>
      <w:t>-</w:t>
    </w:r>
    <w:r w:rsidR="0036324A">
      <w:rPr>
        <w:i/>
        <w:sz w:val="20"/>
        <w:szCs w:val="20"/>
      </w:rPr>
      <w:t xml:space="preserve"> </w:t>
    </w:r>
    <w:proofErr w:type="gramStart"/>
    <w:r w:rsidR="00D96609">
      <w:rPr>
        <w:i/>
        <w:sz w:val="20"/>
        <w:szCs w:val="20"/>
      </w:rPr>
      <w:t>Plán</w:t>
    </w:r>
    <w:proofErr w:type="gramEnd"/>
    <w:r w:rsidR="00D96609">
      <w:rPr>
        <w:i/>
        <w:sz w:val="20"/>
        <w:szCs w:val="20"/>
      </w:rPr>
      <w:t xml:space="preserve"> rozvoje vodovodů a kanalizací Olomouckého kraje</w:t>
    </w:r>
  </w:p>
  <w:p w:rsidR="00D96609" w:rsidRDefault="00D96609" w:rsidP="00D96609">
    <w:pPr>
      <w:pStyle w:val="Zpat"/>
      <w:rPr>
        <w:i/>
        <w:sz w:val="20"/>
        <w:szCs w:val="20"/>
      </w:rPr>
    </w:pPr>
    <w:r>
      <w:rPr>
        <w:i/>
        <w:sz w:val="20"/>
        <w:szCs w:val="20"/>
      </w:rPr>
      <w:t>Příloha č. 2 – Demografický vývoj</w:t>
    </w:r>
    <w:r>
      <w:rPr>
        <w:i/>
        <w:sz w:val="20"/>
        <w:szCs w:val="20"/>
      </w:rPr>
      <w:tab/>
    </w:r>
  </w:p>
  <w:p w:rsidR="00190957" w:rsidRDefault="0019095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957" w:rsidRDefault="00190957" w:rsidP="00B6129A">
      <w:pPr>
        <w:spacing w:before="0" w:after="0"/>
      </w:pPr>
      <w:r>
        <w:separator/>
      </w:r>
    </w:p>
  </w:footnote>
  <w:footnote w:type="continuationSeparator" w:id="0">
    <w:p w:rsidR="00190957" w:rsidRDefault="00190957" w:rsidP="00B6129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CC" w:rsidRDefault="002A2AC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D22" w:rsidRDefault="00A91D22">
    <w:pPr>
      <w:pStyle w:val="Zhlav"/>
    </w:pPr>
    <w:r>
      <w:t>Příloha č.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CC" w:rsidRDefault="002A2ACC">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09" w:rsidRDefault="00D96609" w:rsidP="00D96609">
    <w:pPr>
      <w:pStyle w:val="Zhlav"/>
    </w:pPr>
  </w:p>
  <w:p w:rsidR="00190957" w:rsidRDefault="00D96609" w:rsidP="00D96609">
    <w:pPr>
      <w:pStyle w:val="Zhlav"/>
    </w:pPr>
    <w:r>
      <w:t>Příloha č. 2</w:t>
    </w:r>
    <w:r w:rsidR="00190957">
      <w:rPr>
        <w:noProof/>
        <w:lang w:eastAsia="cs-CZ"/>
      </w:rPr>
      <w:drawing>
        <wp:anchor distT="0" distB="0" distL="114300" distR="114300" simplePos="0" relativeHeight="251658240" behindDoc="0" locked="0" layoutInCell="1" allowOverlap="1" wp14:anchorId="3BAD8D82" wp14:editId="0C1A902B">
          <wp:simplePos x="0" y="0"/>
          <wp:positionH relativeFrom="column">
            <wp:align>right</wp:align>
          </wp:positionH>
          <wp:positionV relativeFrom="page">
            <wp:posOffset>447040</wp:posOffset>
          </wp:positionV>
          <wp:extent cx="560717" cy="331785"/>
          <wp:effectExtent l="0" t="0" r="0" b="0"/>
          <wp:wrapNone/>
          <wp:docPr id="3" name="Obrázek 3" descr="http://vrv.cz/downloads/logo_pantone-3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rv.cz/downloads/logo_pantone-320C.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144" cy="32967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 </w:t>
    </w:r>
    <w:r w:rsidR="00190957">
      <w:t>Aktualizace plánu rozvoje vodovodů a kanalizací Olomouckého kraje</w:t>
    </w:r>
  </w:p>
  <w:p w:rsidR="00190957" w:rsidRDefault="00190957">
    <w:pPr>
      <w:pStyle w:val="Zhlav"/>
      <w:pBdr>
        <w:bottom w:val="single" w:sz="6" w:space="1" w:color="auto"/>
      </w:pBdr>
    </w:pPr>
    <w:r>
      <w:t>Demografický vývoj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1915"/>
    <w:multiLevelType w:val="hybridMultilevel"/>
    <w:tmpl w:val="A60E14D6"/>
    <w:lvl w:ilvl="0" w:tplc="D40435D6">
      <w:start w:val="33"/>
      <w:numFmt w:val="bullet"/>
      <w:lvlText w:val=""/>
      <w:lvlJc w:val="left"/>
      <w:pPr>
        <w:ind w:left="720" w:hanging="360"/>
      </w:pPr>
      <w:rPr>
        <w:rFonts w:ascii="Wingdings" w:eastAsiaTheme="minorEastAsia"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B844AC2"/>
    <w:multiLevelType w:val="multilevel"/>
    <w:tmpl w:val="F072020A"/>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393B412C"/>
    <w:multiLevelType w:val="hybridMultilevel"/>
    <w:tmpl w:val="FDE625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AAA540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8639DF"/>
    <w:multiLevelType w:val="hybridMultilevel"/>
    <w:tmpl w:val="C99E6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9921D0C"/>
    <w:multiLevelType w:val="hybridMultilevel"/>
    <w:tmpl w:val="1062BCF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nsid w:val="4B552F00"/>
    <w:multiLevelType w:val="hybridMultilevel"/>
    <w:tmpl w:val="7946EB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B3F4ACC"/>
    <w:multiLevelType w:val="hybridMultilevel"/>
    <w:tmpl w:val="C3867FE0"/>
    <w:lvl w:ilvl="0" w:tplc="5142C38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1A00AB1"/>
    <w:multiLevelType w:val="hybridMultilevel"/>
    <w:tmpl w:val="A990A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ABC08E2"/>
    <w:multiLevelType w:val="multilevel"/>
    <w:tmpl w:val="B61E2FC4"/>
    <w:lvl w:ilvl="0">
      <w:start w:val="1"/>
      <w:numFmt w:val="decimal"/>
      <w:pStyle w:val="Nadpis1"/>
      <w:lvlText w:val="%1."/>
      <w:lvlJc w:val="left"/>
      <w:pPr>
        <w:ind w:left="2771" w:hanging="360"/>
      </w:pPr>
    </w:lvl>
    <w:lvl w:ilvl="1">
      <w:start w:val="1"/>
      <w:numFmt w:val="decimal"/>
      <w:pStyle w:val="Nadpi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03A34DA"/>
    <w:multiLevelType w:val="hybridMultilevel"/>
    <w:tmpl w:val="8634DE28"/>
    <w:lvl w:ilvl="0" w:tplc="5142C388">
      <w:start w:val="1"/>
      <w:numFmt w:val="decimal"/>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7"/>
  </w:num>
  <w:num w:numId="11">
    <w:abstractNumId w:val="10"/>
  </w:num>
  <w:num w:numId="12">
    <w:abstractNumId w:val="2"/>
  </w:num>
  <w:num w:numId="13">
    <w:abstractNumId w:val="3"/>
  </w:num>
  <w:num w:numId="14">
    <w:abstractNumId w:val="9"/>
  </w:num>
  <w:num w:numId="15">
    <w:abstractNumId w:val="0"/>
  </w:num>
  <w:num w:numId="16">
    <w:abstractNumId w:val="5"/>
  </w:num>
  <w:num w:numId="17">
    <w:abstractNumId w:val="6"/>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AA4"/>
    <w:rsid w:val="00001D62"/>
    <w:rsid w:val="00003866"/>
    <w:rsid w:val="000040E0"/>
    <w:rsid w:val="00004AED"/>
    <w:rsid w:val="00004C64"/>
    <w:rsid w:val="00005841"/>
    <w:rsid w:val="000079AF"/>
    <w:rsid w:val="00011976"/>
    <w:rsid w:val="00016654"/>
    <w:rsid w:val="00016EDD"/>
    <w:rsid w:val="00020AAD"/>
    <w:rsid w:val="000305AB"/>
    <w:rsid w:val="00031F72"/>
    <w:rsid w:val="00032B0C"/>
    <w:rsid w:val="000335E1"/>
    <w:rsid w:val="000351DD"/>
    <w:rsid w:val="000405D6"/>
    <w:rsid w:val="0004067E"/>
    <w:rsid w:val="000418D8"/>
    <w:rsid w:val="00042843"/>
    <w:rsid w:val="00042A91"/>
    <w:rsid w:val="00043C0A"/>
    <w:rsid w:val="00044091"/>
    <w:rsid w:val="00045FD2"/>
    <w:rsid w:val="00046185"/>
    <w:rsid w:val="00047B0A"/>
    <w:rsid w:val="000523AE"/>
    <w:rsid w:val="0005243A"/>
    <w:rsid w:val="00053B9F"/>
    <w:rsid w:val="00055D73"/>
    <w:rsid w:val="0005615E"/>
    <w:rsid w:val="00061A03"/>
    <w:rsid w:val="0006328C"/>
    <w:rsid w:val="000634DC"/>
    <w:rsid w:val="00070705"/>
    <w:rsid w:val="00075B81"/>
    <w:rsid w:val="00076C27"/>
    <w:rsid w:val="00082F31"/>
    <w:rsid w:val="000871E2"/>
    <w:rsid w:val="00097025"/>
    <w:rsid w:val="000A21AC"/>
    <w:rsid w:val="000A4670"/>
    <w:rsid w:val="000A58D2"/>
    <w:rsid w:val="000A5A20"/>
    <w:rsid w:val="000A7C38"/>
    <w:rsid w:val="000A7CDB"/>
    <w:rsid w:val="000B7386"/>
    <w:rsid w:val="000C30A9"/>
    <w:rsid w:val="000C4AD2"/>
    <w:rsid w:val="000C593B"/>
    <w:rsid w:val="000D173E"/>
    <w:rsid w:val="000D2303"/>
    <w:rsid w:val="000D233F"/>
    <w:rsid w:val="000D29F9"/>
    <w:rsid w:val="000D4588"/>
    <w:rsid w:val="000D519B"/>
    <w:rsid w:val="000D5594"/>
    <w:rsid w:val="000D747D"/>
    <w:rsid w:val="000D77A6"/>
    <w:rsid w:val="000E4E7A"/>
    <w:rsid w:val="000E73F8"/>
    <w:rsid w:val="000E7A0A"/>
    <w:rsid w:val="000F366D"/>
    <w:rsid w:val="000F4D8F"/>
    <w:rsid w:val="000F79C1"/>
    <w:rsid w:val="000F7D54"/>
    <w:rsid w:val="00102294"/>
    <w:rsid w:val="00103338"/>
    <w:rsid w:val="00104D51"/>
    <w:rsid w:val="0010611E"/>
    <w:rsid w:val="001062E2"/>
    <w:rsid w:val="00123696"/>
    <w:rsid w:val="00126FF7"/>
    <w:rsid w:val="001305A5"/>
    <w:rsid w:val="00133016"/>
    <w:rsid w:val="001336B2"/>
    <w:rsid w:val="00133CDF"/>
    <w:rsid w:val="00134983"/>
    <w:rsid w:val="0013741F"/>
    <w:rsid w:val="00141CA1"/>
    <w:rsid w:val="00144BE0"/>
    <w:rsid w:val="0014747B"/>
    <w:rsid w:val="00150C22"/>
    <w:rsid w:val="001510B0"/>
    <w:rsid w:val="00151BE4"/>
    <w:rsid w:val="00153FBF"/>
    <w:rsid w:val="001604CE"/>
    <w:rsid w:val="00161124"/>
    <w:rsid w:val="001626FA"/>
    <w:rsid w:val="0016304D"/>
    <w:rsid w:val="00164BD1"/>
    <w:rsid w:val="00166298"/>
    <w:rsid w:val="00167943"/>
    <w:rsid w:val="0017318D"/>
    <w:rsid w:val="00173F8B"/>
    <w:rsid w:val="00175145"/>
    <w:rsid w:val="0017628C"/>
    <w:rsid w:val="00177315"/>
    <w:rsid w:val="00182FB2"/>
    <w:rsid w:val="00187177"/>
    <w:rsid w:val="0018722A"/>
    <w:rsid w:val="00190957"/>
    <w:rsid w:val="00190C21"/>
    <w:rsid w:val="0019438F"/>
    <w:rsid w:val="00196A7A"/>
    <w:rsid w:val="00196FC2"/>
    <w:rsid w:val="001A01FD"/>
    <w:rsid w:val="001A088F"/>
    <w:rsid w:val="001A23D5"/>
    <w:rsid w:val="001A2AE7"/>
    <w:rsid w:val="001A2DCD"/>
    <w:rsid w:val="001A4178"/>
    <w:rsid w:val="001B1DAA"/>
    <w:rsid w:val="001B63EE"/>
    <w:rsid w:val="001B7266"/>
    <w:rsid w:val="001C501D"/>
    <w:rsid w:val="001C5FEB"/>
    <w:rsid w:val="001C6990"/>
    <w:rsid w:val="001D204D"/>
    <w:rsid w:val="001D463D"/>
    <w:rsid w:val="001D5696"/>
    <w:rsid w:val="001D6AA4"/>
    <w:rsid w:val="001E21CC"/>
    <w:rsid w:val="001F1BA2"/>
    <w:rsid w:val="001F2985"/>
    <w:rsid w:val="001F51ED"/>
    <w:rsid w:val="001F5BC5"/>
    <w:rsid w:val="0020286F"/>
    <w:rsid w:val="002029EB"/>
    <w:rsid w:val="00203133"/>
    <w:rsid w:val="0020726D"/>
    <w:rsid w:val="00207692"/>
    <w:rsid w:val="002144C8"/>
    <w:rsid w:val="00216865"/>
    <w:rsid w:val="00223390"/>
    <w:rsid w:val="0022378D"/>
    <w:rsid w:val="00227E5B"/>
    <w:rsid w:val="00230498"/>
    <w:rsid w:val="002336CD"/>
    <w:rsid w:val="002346C9"/>
    <w:rsid w:val="0023495C"/>
    <w:rsid w:val="00237B6C"/>
    <w:rsid w:val="00241988"/>
    <w:rsid w:val="00247560"/>
    <w:rsid w:val="00251D2B"/>
    <w:rsid w:val="002544E3"/>
    <w:rsid w:val="00254E1B"/>
    <w:rsid w:val="00255195"/>
    <w:rsid w:val="00261EDB"/>
    <w:rsid w:val="0026343F"/>
    <w:rsid w:val="00270103"/>
    <w:rsid w:val="002732A3"/>
    <w:rsid w:val="002744D5"/>
    <w:rsid w:val="0027744E"/>
    <w:rsid w:val="00280EA7"/>
    <w:rsid w:val="00281B3D"/>
    <w:rsid w:val="00292023"/>
    <w:rsid w:val="00293796"/>
    <w:rsid w:val="002941DA"/>
    <w:rsid w:val="00295C2C"/>
    <w:rsid w:val="00296C02"/>
    <w:rsid w:val="0029758A"/>
    <w:rsid w:val="002A14E0"/>
    <w:rsid w:val="002A292E"/>
    <w:rsid w:val="002A2ACC"/>
    <w:rsid w:val="002A5AF6"/>
    <w:rsid w:val="002A5D70"/>
    <w:rsid w:val="002A78E2"/>
    <w:rsid w:val="002B3E4C"/>
    <w:rsid w:val="002B5775"/>
    <w:rsid w:val="002B5CBE"/>
    <w:rsid w:val="002C3EE5"/>
    <w:rsid w:val="002C4295"/>
    <w:rsid w:val="002C7215"/>
    <w:rsid w:val="002C7398"/>
    <w:rsid w:val="002C7431"/>
    <w:rsid w:val="002D09A7"/>
    <w:rsid w:val="002D58A4"/>
    <w:rsid w:val="002D5D71"/>
    <w:rsid w:val="002D6167"/>
    <w:rsid w:val="002E3AB2"/>
    <w:rsid w:val="002E425E"/>
    <w:rsid w:val="002E5F48"/>
    <w:rsid w:val="002E7495"/>
    <w:rsid w:val="002F49A7"/>
    <w:rsid w:val="00300E65"/>
    <w:rsid w:val="00303570"/>
    <w:rsid w:val="0030412D"/>
    <w:rsid w:val="003045B3"/>
    <w:rsid w:val="00305637"/>
    <w:rsid w:val="0031383C"/>
    <w:rsid w:val="00315475"/>
    <w:rsid w:val="00315D47"/>
    <w:rsid w:val="00317A5D"/>
    <w:rsid w:val="00317D42"/>
    <w:rsid w:val="0032398E"/>
    <w:rsid w:val="003245AA"/>
    <w:rsid w:val="003257F3"/>
    <w:rsid w:val="003319DD"/>
    <w:rsid w:val="00333C9C"/>
    <w:rsid w:val="00334383"/>
    <w:rsid w:val="00335225"/>
    <w:rsid w:val="00336BF5"/>
    <w:rsid w:val="0034175D"/>
    <w:rsid w:val="003433CA"/>
    <w:rsid w:val="00351C79"/>
    <w:rsid w:val="00352891"/>
    <w:rsid w:val="0035301E"/>
    <w:rsid w:val="00361894"/>
    <w:rsid w:val="0036324A"/>
    <w:rsid w:val="00363E66"/>
    <w:rsid w:val="00366CDE"/>
    <w:rsid w:val="0037191D"/>
    <w:rsid w:val="00372CAB"/>
    <w:rsid w:val="0037693E"/>
    <w:rsid w:val="00380EF4"/>
    <w:rsid w:val="003843D8"/>
    <w:rsid w:val="003875D2"/>
    <w:rsid w:val="0038789D"/>
    <w:rsid w:val="00394044"/>
    <w:rsid w:val="0039647D"/>
    <w:rsid w:val="003A1D3D"/>
    <w:rsid w:val="003A35BB"/>
    <w:rsid w:val="003A3B47"/>
    <w:rsid w:val="003A3CEF"/>
    <w:rsid w:val="003B22AF"/>
    <w:rsid w:val="003B35A2"/>
    <w:rsid w:val="003B4FFE"/>
    <w:rsid w:val="003B547B"/>
    <w:rsid w:val="003B5A3E"/>
    <w:rsid w:val="003C25EC"/>
    <w:rsid w:val="003C2DCD"/>
    <w:rsid w:val="003C2E00"/>
    <w:rsid w:val="003D086A"/>
    <w:rsid w:val="003D39CF"/>
    <w:rsid w:val="003D5708"/>
    <w:rsid w:val="003D5C0D"/>
    <w:rsid w:val="003D67A8"/>
    <w:rsid w:val="003D6FAC"/>
    <w:rsid w:val="003E04A4"/>
    <w:rsid w:val="003E2894"/>
    <w:rsid w:val="003E28A4"/>
    <w:rsid w:val="003E7E8E"/>
    <w:rsid w:val="003F2640"/>
    <w:rsid w:val="003F3C45"/>
    <w:rsid w:val="004029CB"/>
    <w:rsid w:val="0040577F"/>
    <w:rsid w:val="0041126D"/>
    <w:rsid w:val="00415447"/>
    <w:rsid w:val="004162FE"/>
    <w:rsid w:val="00420802"/>
    <w:rsid w:val="00421597"/>
    <w:rsid w:val="004235DB"/>
    <w:rsid w:val="00425ADD"/>
    <w:rsid w:val="0044215B"/>
    <w:rsid w:val="00445270"/>
    <w:rsid w:val="00450147"/>
    <w:rsid w:val="00450544"/>
    <w:rsid w:val="004522A8"/>
    <w:rsid w:val="00453D5D"/>
    <w:rsid w:val="00454041"/>
    <w:rsid w:val="004561CF"/>
    <w:rsid w:val="004654A9"/>
    <w:rsid w:val="0046778A"/>
    <w:rsid w:val="00473BF8"/>
    <w:rsid w:val="00473F05"/>
    <w:rsid w:val="0047799D"/>
    <w:rsid w:val="00480EAE"/>
    <w:rsid w:val="0048215F"/>
    <w:rsid w:val="004828DD"/>
    <w:rsid w:val="0048765D"/>
    <w:rsid w:val="004903E2"/>
    <w:rsid w:val="004912EF"/>
    <w:rsid w:val="00493F1F"/>
    <w:rsid w:val="004A2D23"/>
    <w:rsid w:val="004A34F7"/>
    <w:rsid w:val="004A4EF2"/>
    <w:rsid w:val="004A5CE0"/>
    <w:rsid w:val="004A66E4"/>
    <w:rsid w:val="004A6A91"/>
    <w:rsid w:val="004B655C"/>
    <w:rsid w:val="004C24D3"/>
    <w:rsid w:val="004C2C16"/>
    <w:rsid w:val="004D1EAC"/>
    <w:rsid w:val="004D40AF"/>
    <w:rsid w:val="004D55C3"/>
    <w:rsid w:val="004D62E0"/>
    <w:rsid w:val="004D6912"/>
    <w:rsid w:val="004D791A"/>
    <w:rsid w:val="004E092F"/>
    <w:rsid w:val="004F239E"/>
    <w:rsid w:val="004F2947"/>
    <w:rsid w:val="004F2954"/>
    <w:rsid w:val="004F7299"/>
    <w:rsid w:val="004F7814"/>
    <w:rsid w:val="005052E8"/>
    <w:rsid w:val="005069C2"/>
    <w:rsid w:val="00511129"/>
    <w:rsid w:val="0051279C"/>
    <w:rsid w:val="00516C5D"/>
    <w:rsid w:val="005177CB"/>
    <w:rsid w:val="005212D3"/>
    <w:rsid w:val="00522278"/>
    <w:rsid w:val="0052554C"/>
    <w:rsid w:val="00531F38"/>
    <w:rsid w:val="0053414F"/>
    <w:rsid w:val="005357CF"/>
    <w:rsid w:val="0053633C"/>
    <w:rsid w:val="00537055"/>
    <w:rsid w:val="00550FCE"/>
    <w:rsid w:val="0055333C"/>
    <w:rsid w:val="005570EB"/>
    <w:rsid w:val="00557682"/>
    <w:rsid w:val="00560619"/>
    <w:rsid w:val="0056141C"/>
    <w:rsid w:val="00562B54"/>
    <w:rsid w:val="005632CE"/>
    <w:rsid w:val="00566B4E"/>
    <w:rsid w:val="0056700C"/>
    <w:rsid w:val="00567FE6"/>
    <w:rsid w:val="005709BE"/>
    <w:rsid w:val="005709CA"/>
    <w:rsid w:val="00570B88"/>
    <w:rsid w:val="005731F4"/>
    <w:rsid w:val="00573C1F"/>
    <w:rsid w:val="00581CF8"/>
    <w:rsid w:val="005822F0"/>
    <w:rsid w:val="00582A2B"/>
    <w:rsid w:val="00582D62"/>
    <w:rsid w:val="00586D47"/>
    <w:rsid w:val="00586E2D"/>
    <w:rsid w:val="005920A7"/>
    <w:rsid w:val="00593E39"/>
    <w:rsid w:val="0059501D"/>
    <w:rsid w:val="00596C57"/>
    <w:rsid w:val="00597870"/>
    <w:rsid w:val="005A2582"/>
    <w:rsid w:val="005A76DC"/>
    <w:rsid w:val="005B0C28"/>
    <w:rsid w:val="005B1AD9"/>
    <w:rsid w:val="005B344F"/>
    <w:rsid w:val="005B6681"/>
    <w:rsid w:val="005B6ABD"/>
    <w:rsid w:val="005C001E"/>
    <w:rsid w:val="005C17F6"/>
    <w:rsid w:val="005C6CA9"/>
    <w:rsid w:val="005D1BD9"/>
    <w:rsid w:val="005D206C"/>
    <w:rsid w:val="005D7E05"/>
    <w:rsid w:val="005E05A5"/>
    <w:rsid w:val="005E1D45"/>
    <w:rsid w:val="005E4FDF"/>
    <w:rsid w:val="005E5D93"/>
    <w:rsid w:val="005F1AC4"/>
    <w:rsid w:val="005F359C"/>
    <w:rsid w:val="005F4329"/>
    <w:rsid w:val="005F5657"/>
    <w:rsid w:val="006035EF"/>
    <w:rsid w:val="00606730"/>
    <w:rsid w:val="00607079"/>
    <w:rsid w:val="00614B68"/>
    <w:rsid w:val="00620A45"/>
    <w:rsid w:val="00620AD9"/>
    <w:rsid w:val="006232C6"/>
    <w:rsid w:val="00623AEB"/>
    <w:rsid w:val="006252A5"/>
    <w:rsid w:val="00630068"/>
    <w:rsid w:val="00630D47"/>
    <w:rsid w:val="00632B74"/>
    <w:rsid w:val="00637DCC"/>
    <w:rsid w:val="006423E8"/>
    <w:rsid w:val="00643A52"/>
    <w:rsid w:val="00643C4C"/>
    <w:rsid w:val="00645FCB"/>
    <w:rsid w:val="00647A82"/>
    <w:rsid w:val="00652C1E"/>
    <w:rsid w:val="00661CF0"/>
    <w:rsid w:val="00666663"/>
    <w:rsid w:val="00670657"/>
    <w:rsid w:val="0067241D"/>
    <w:rsid w:val="006736FE"/>
    <w:rsid w:val="006767CB"/>
    <w:rsid w:val="00676E83"/>
    <w:rsid w:val="00680060"/>
    <w:rsid w:val="0068098A"/>
    <w:rsid w:val="00681F23"/>
    <w:rsid w:val="00682DB8"/>
    <w:rsid w:val="00683003"/>
    <w:rsid w:val="00684785"/>
    <w:rsid w:val="0068611C"/>
    <w:rsid w:val="00696FDA"/>
    <w:rsid w:val="006978AF"/>
    <w:rsid w:val="006A026E"/>
    <w:rsid w:val="006A15E5"/>
    <w:rsid w:val="006A1FD8"/>
    <w:rsid w:val="006A4857"/>
    <w:rsid w:val="006A4D18"/>
    <w:rsid w:val="006A69BD"/>
    <w:rsid w:val="006B233F"/>
    <w:rsid w:val="006B5DD8"/>
    <w:rsid w:val="006B6BB3"/>
    <w:rsid w:val="006B6CA7"/>
    <w:rsid w:val="006B7000"/>
    <w:rsid w:val="006C08FA"/>
    <w:rsid w:val="006C0E86"/>
    <w:rsid w:val="006C1504"/>
    <w:rsid w:val="006C1AD8"/>
    <w:rsid w:val="006C426D"/>
    <w:rsid w:val="006C448F"/>
    <w:rsid w:val="006D4A81"/>
    <w:rsid w:val="006D4A9F"/>
    <w:rsid w:val="006D5306"/>
    <w:rsid w:val="006D708E"/>
    <w:rsid w:val="006E2A52"/>
    <w:rsid w:val="006E396B"/>
    <w:rsid w:val="006E5282"/>
    <w:rsid w:val="006E5FFB"/>
    <w:rsid w:val="006E6C64"/>
    <w:rsid w:val="006F0565"/>
    <w:rsid w:val="006F4350"/>
    <w:rsid w:val="006F6D0B"/>
    <w:rsid w:val="00701319"/>
    <w:rsid w:val="00703BBF"/>
    <w:rsid w:val="00706471"/>
    <w:rsid w:val="007074E5"/>
    <w:rsid w:val="00714A5D"/>
    <w:rsid w:val="00721BEC"/>
    <w:rsid w:val="007264B8"/>
    <w:rsid w:val="00727A13"/>
    <w:rsid w:val="00733A79"/>
    <w:rsid w:val="00733EE0"/>
    <w:rsid w:val="00735615"/>
    <w:rsid w:val="007362A9"/>
    <w:rsid w:val="0073648B"/>
    <w:rsid w:val="0074260C"/>
    <w:rsid w:val="00742A2A"/>
    <w:rsid w:val="007435B4"/>
    <w:rsid w:val="00744456"/>
    <w:rsid w:val="0074482F"/>
    <w:rsid w:val="0074624D"/>
    <w:rsid w:val="00750132"/>
    <w:rsid w:val="0075381E"/>
    <w:rsid w:val="007539B3"/>
    <w:rsid w:val="00763D3C"/>
    <w:rsid w:val="007649B9"/>
    <w:rsid w:val="00770A4B"/>
    <w:rsid w:val="007749B9"/>
    <w:rsid w:val="00775907"/>
    <w:rsid w:val="00775DE2"/>
    <w:rsid w:val="007769AA"/>
    <w:rsid w:val="00776C1B"/>
    <w:rsid w:val="00777BE9"/>
    <w:rsid w:val="00777D9C"/>
    <w:rsid w:val="00784C27"/>
    <w:rsid w:val="00785778"/>
    <w:rsid w:val="007878A2"/>
    <w:rsid w:val="00787C22"/>
    <w:rsid w:val="00790EA9"/>
    <w:rsid w:val="00791220"/>
    <w:rsid w:val="00792D1E"/>
    <w:rsid w:val="00796251"/>
    <w:rsid w:val="00796857"/>
    <w:rsid w:val="007A2CAC"/>
    <w:rsid w:val="007A3754"/>
    <w:rsid w:val="007B0B91"/>
    <w:rsid w:val="007B116D"/>
    <w:rsid w:val="007B143A"/>
    <w:rsid w:val="007B192E"/>
    <w:rsid w:val="007B4A75"/>
    <w:rsid w:val="007B4E71"/>
    <w:rsid w:val="007C3E32"/>
    <w:rsid w:val="007C7974"/>
    <w:rsid w:val="007D070E"/>
    <w:rsid w:val="007E1B5A"/>
    <w:rsid w:val="007E3A45"/>
    <w:rsid w:val="007E64EF"/>
    <w:rsid w:val="007E6D71"/>
    <w:rsid w:val="007E7044"/>
    <w:rsid w:val="007E78A6"/>
    <w:rsid w:val="007F5909"/>
    <w:rsid w:val="007F73BE"/>
    <w:rsid w:val="00801102"/>
    <w:rsid w:val="00801C60"/>
    <w:rsid w:val="00803BE8"/>
    <w:rsid w:val="00817079"/>
    <w:rsid w:val="00821D4C"/>
    <w:rsid w:val="0082241B"/>
    <w:rsid w:val="00834195"/>
    <w:rsid w:val="008360F9"/>
    <w:rsid w:val="00842DDD"/>
    <w:rsid w:val="00850FD7"/>
    <w:rsid w:val="008513C9"/>
    <w:rsid w:val="008517C9"/>
    <w:rsid w:val="008520C3"/>
    <w:rsid w:val="008529E5"/>
    <w:rsid w:val="00857703"/>
    <w:rsid w:val="008636DD"/>
    <w:rsid w:val="0086562C"/>
    <w:rsid w:val="00872C81"/>
    <w:rsid w:val="0087504B"/>
    <w:rsid w:val="00877244"/>
    <w:rsid w:val="00880964"/>
    <w:rsid w:val="00881775"/>
    <w:rsid w:val="00881BE0"/>
    <w:rsid w:val="00881D03"/>
    <w:rsid w:val="00881E30"/>
    <w:rsid w:val="008827DB"/>
    <w:rsid w:val="00885D1B"/>
    <w:rsid w:val="0088796F"/>
    <w:rsid w:val="00893EB7"/>
    <w:rsid w:val="0089430D"/>
    <w:rsid w:val="00897EEA"/>
    <w:rsid w:val="008A243F"/>
    <w:rsid w:val="008A24CC"/>
    <w:rsid w:val="008A269E"/>
    <w:rsid w:val="008A4DB5"/>
    <w:rsid w:val="008A57F0"/>
    <w:rsid w:val="008A647C"/>
    <w:rsid w:val="008A6B2F"/>
    <w:rsid w:val="008B004C"/>
    <w:rsid w:val="008B0DB6"/>
    <w:rsid w:val="008B0DC9"/>
    <w:rsid w:val="008B13A1"/>
    <w:rsid w:val="008B18B2"/>
    <w:rsid w:val="008B3361"/>
    <w:rsid w:val="008B3F8B"/>
    <w:rsid w:val="008B6174"/>
    <w:rsid w:val="008C3038"/>
    <w:rsid w:val="008C561F"/>
    <w:rsid w:val="008C56F4"/>
    <w:rsid w:val="008C7F34"/>
    <w:rsid w:val="008D00CF"/>
    <w:rsid w:val="008D08A3"/>
    <w:rsid w:val="008D0D95"/>
    <w:rsid w:val="008D592C"/>
    <w:rsid w:val="008D71D8"/>
    <w:rsid w:val="008E1CE7"/>
    <w:rsid w:val="008E2075"/>
    <w:rsid w:val="008E405C"/>
    <w:rsid w:val="008E557E"/>
    <w:rsid w:val="008E7C52"/>
    <w:rsid w:val="008F014C"/>
    <w:rsid w:val="008F2EC5"/>
    <w:rsid w:val="008F6709"/>
    <w:rsid w:val="0090345C"/>
    <w:rsid w:val="00904218"/>
    <w:rsid w:val="00905AD9"/>
    <w:rsid w:val="009061ED"/>
    <w:rsid w:val="00906369"/>
    <w:rsid w:val="00912832"/>
    <w:rsid w:val="00912C3B"/>
    <w:rsid w:val="00914D82"/>
    <w:rsid w:val="00916995"/>
    <w:rsid w:val="00921BD1"/>
    <w:rsid w:val="00922F75"/>
    <w:rsid w:val="00924037"/>
    <w:rsid w:val="00924157"/>
    <w:rsid w:val="00925709"/>
    <w:rsid w:val="0092588B"/>
    <w:rsid w:val="009279E3"/>
    <w:rsid w:val="009307D1"/>
    <w:rsid w:val="00932918"/>
    <w:rsid w:val="009329EA"/>
    <w:rsid w:val="0093350C"/>
    <w:rsid w:val="00942E4E"/>
    <w:rsid w:val="00946A02"/>
    <w:rsid w:val="00950521"/>
    <w:rsid w:val="00950E4C"/>
    <w:rsid w:val="00952F54"/>
    <w:rsid w:val="0095630C"/>
    <w:rsid w:val="009602BC"/>
    <w:rsid w:val="009608C9"/>
    <w:rsid w:val="00963068"/>
    <w:rsid w:val="009638B8"/>
    <w:rsid w:val="00963B17"/>
    <w:rsid w:val="00965C31"/>
    <w:rsid w:val="0096640B"/>
    <w:rsid w:val="00972C92"/>
    <w:rsid w:val="0097491E"/>
    <w:rsid w:val="00981FBA"/>
    <w:rsid w:val="0098378A"/>
    <w:rsid w:val="00983829"/>
    <w:rsid w:val="00984CDF"/>
    <w:rsid w:val="009960A3"/>
    <w:rsid w:val="0099686E"/>
    <w:rsid w:val="009A6930"/>
    <w:rsid w:val="009A70C1"/>
    <w:rsid w:val="009A7B3F"/>
    <w:rsid w:val="009B3148"/>
    <w:rsid w:val="009B6506"/>
    <w:rsid w:val="009C1C9A"/>
    <w:rsid w:val="009C5328"/>
    <w:rsid w:val="009D32D1"/>
    <w:rsid w:val="009D4443"/>
    <w:rsid w:val="009D62D8"/>
    <w:rsid w:val="009E0C26"/>
    <w:rsid w:val="009E4506"/>
    <w:rsid w:val="009F3DA6"/>
    <w:rsid w:val="009F58CC"/>
    <w:rsid w:val="009F6DE2"/>
    <w:rsid w:val="00A00423"/>
    <w:rsid w:val="00A00DA7"/>
    <w:rsid w:val="00A045AB"/>
    <w:rsid w:val="00A062DB"/>
    <w:rsid w:val="00A065D2"/>
    <w:rsid w:val="00A06A7D"/>
    <w:rsid w:val="00A07770"/>
    <w:rsid w:val="00A155C7"/>
    <w:rsid w:val="00A15992"/>
    <w:rsid w:val="00A16900"/>
    <w:rsid w:val="00A20C9B"/>
    <w:rsid w:val="00A21EDD"/>
    <w:rsid w:val="00A23A7C"/>
    <w:rsid w:val="00A25916"/>
    <w:rsid w:val="00A277F0"/>
    <w:rsid w:val="00A2788A"/>
    <w:rsid w:val="00A377AF"/>
    <w:rsid w:val="00A40E00"/>
    <w:rsid w:val="00A41CEC"/>
    <w:rsid w:val="00A42262"/>
    <w:rsid w:val="00A503EF"/>
    <w:rsid w:val="00A505D5"/>
    <w:rsid w:val="00A51A9A"/>
    <w:rsid w:val="00A53D55"/>
    <w:rsid w:val="00A61103"/>
    <w:rsid w:val="00A63C77"/>
    <w:rsid w:val="00A650FF"/>
    <w:rsid w:val="00A67ADC"/>
    <w:rsid w:val="00A70118"/>
    <w:rsid w:val="00A74309"/>
    <w:rsid w:val="00A7464E"/>
    <w:rsid w:val="00A81D63"/>
    <w:rsid w:val="00A82378"/>
    <w:rsid w:val="00A874EB"/>
    <w:rsid w:val="00A87BCA"/>
    <w:rsid w:val="00A91D22"/>
    <w:rsid w:val="00A9358F"/>
    <w:rsid w:val="00AA01CD"/>
    <w:rsid w:val="00AA3818"/>
    <w:rsid w:val="00AA4475"/>
    <w:rsid w:val="00AB0C32"/>
    <w:rsid w:val="00AB2054"/>
    <w:rsid w:val="00AB206D"/>
    <w:rsid w:val="00AB446D"/>
    <w:rsid w:val="00AB4FD7"/>
    <w:rsid w:val="00AC0813"/>
    <w:rsid w:val="00AC19AB"/>
    <w:rsid w:val="00AD0240"/>
    <w:rsid w:val="00AD6B94"/>
    <w:rsid w:val="00AD6F0C"/>
    <w:rsid w:val="00AE055D"/>
    <w:rsid w:val="00AE1092"/>
    <w:rsid w:val="00AE31EA"/>
    <w:rsid w:val="00AE3F5C"/>
    <w:rsid w:val="00AF0A3A"/>
    <w:rsid w:val="00AF11D6"/>
    <w:rsid w:val="00AF3D77"/>
    <w:rsid w:val="00B00405"/>
    <w:rsid w:val="00B01698"/>
    <w:rsid w:val="00B019A6"/>
    <w:rsid w:val="00B02621"/>
    <w:rsid w:val="00B042A5"/>
    <w:rsid w:val="00B062E0"/>
    <w:rsid w:val="00B224EF"/>
    <w:rsid w:val="00B23FAB"/>
    <w:rsid w:val="00B25986"/>
    <w:rsid w:val="00B26738"/>
    <w:rsid w:val="00B30DDA"/>
    <w:rsid w:val="00B40594"/>
    <w:rsid w:val="00B409BC"/>
    <w:rsid w:val="00B44400"/>
    <w:rsid w:val="00B47985"/>
    <w:rsid w:val="00B50969"/>
    <w:rsid w:val="00B520D7"/>
    <w:rsid w:val="00B54F81"/>
    <w:rsid w:val="00B5550F"/>
    <w:rsid w:val="00B55843"/>
    <w:rsid w:val="00B5649D"/>
    <w:rsid w:val="00B56FE9"/>
    <w:rsid w:val="00B57072"/>
    <w:rsid w:val="00B600A2"/>
    <w:rsid w:val="00B60DAE"/>
    <w:rsid w:val="00B6129A"/>
    <w:rsid w:val="00B63187"/>
    <w:rsid w:val="00B732C4"/>
    <w:rsid w:val="00B7395F"/>
    <w:rsid w:val="00B756F4"/>
    <w:rsid w:val="00B76FCE"/>
    <w:rsid w:val="00B7740A"/>
    <w:rsid w:val="00B80496"/>
    <w:rsid w:val="00B80A99"/>
    <w:rsid w:val="00B83A63"/>
    <w:rsid w:val="00B842F9"/>
    <w:rsid w:val="00B858B8"/>
    <w:rsid w:val="00B85EBC"/>
    <w:rsid w:val="00B860E0"/>
    <w:rsid w:val="00B90D9E"/>
    <w:rsid w:val="00B911DD"/>
    <w:rsid w:val="00B91B68"/>
    <w:rsid w:val="00B94B98"/>
    <w:rsid w:val="00B9527A"/>
    <w:rsid w:val="00B9649A"/>
    <w:rsid w:val="00BA1758"/>
    <w:rsid w:val="00BB1373"/>
    <w:rsid w:val="00BB19AB"/>
    <w:rsid w:val="00BB1E9B"/>
    <w:rsid w:val="00BB606E"/>
    <w:rsid w:val="00BB649C"/>
    <w:rsid w:val="00BC1770"/>
    <w:rsid w:val="00BC317F"/>
    <w:rsid w:val="00BC331F"/>
    <w:rsid w:val="00BC5376"/>
    <w:rsid w:val="00BD0F40"/>
    <w:rsid w:val="00BD1BAB"/>
    <w:rsid w:val="00BD1F5E"/>
    <w:rsid w:val="00BD2B0D"/>
    <w:rsid w:val="00BD4211"/>
    <w:rsid w:val="00BE002C"/>
    <w:rsid w:val="00BE05B8"/>
    <w:rsid w:val="00BE35A8"/>
    <w:rsid w:val="00BE4584"/>
    <w:rsid w:val="00BE4E54"/>
    <w:rsid w:val="00BE5DF4"/>
    <w:rsid w:val="00BE7610"/>
    <w:rsid w:val="00BF4510"/>
    <w:rsid w:val="00BF6248"/>
    <w:rsid w:val="00BF64ED"/>
    <w:rsid w:val="00C03A42"/>
    <w:rsid w:val="00C051B5"/>
    <w:rsid w:val="00C05FAB"/>
    <w:rsid w:val="00C10BB7"/>
    <w:rsid w:val="00C1570F"/>
    <w:rsid w:val="00C16DCB"/>
    <w:rsid w:val="00C1700D"/>
    <w:rsid w:val="00C24446"/>
    <w:rsid w:val="00C246FE"/>
    <w:rsid w:val="00C33DBD"/>
    <w:rsid w:val="00C34121"/>
    <w:rsid w:val="00C36F1A"/>
    <w:rsid w:val="00C40C4D"/>
    <w:rsid w:val="00C44EB1"/>
    <w:rsid w:val="00C45280"/>
    <w:rsid w:val="00C457C6"/>
    <w:rsid w:val="00C4732A"/>
    <w:rsid w:val="00C50858"/>
    <w:rsid w:val="00C55EDF"/>
    <w:rsid w:val="00C566A1"/>
    <w:rsid w:val="00C56915"/>
    <w:rsid w:val="00C63A9A"/>
    <w:rsid w:val="00C648DE"/>
    <w:rsid w:val="00C658E0"/>
    <w:rsid w:val="00C662F1"/>
    <w:rsid w:val="00C67E73"/>
    <w:rsid w:val="00C71030"/>
    <w:rsid w:val="00C72B9E"/>
    <w:rsid w:val="00C7303A"/>
    <w:rsid w:val="00C91A56"/>
    <w:rsid w:val="00C921D1"/>
    <w:rsid w:val="00C95FF9"/>
    <w:rsid w:val="00C9606C"/>
    <w:rsid w:val="00C9754E"/>
    <w:rsid w:val="00CA2E07"/>
    <w:rsid w:val="00CA3F23"/>
    <w:rsid w:val="00CA3F2A"/>
    <w:rsid w:val="00CA7A0E"/>
    <w:rsid w:val="00CC0BF1"/>
    <w:rsid w:val="00CC61AC"/>
    <w:rsid w:val="00CC726E"/>
    <w:rsid w:val="00CC795A"/>
    <w:rsid w:val="00CE7151"/>
    <w:rsid w:val="00CF0666"/>
    <w:rsid w:val="00CF1DA7"/>
    <w:rsid w:val="00CF2D93"/>
    <w:rsid w:val="00CF43DF"/>
    <w:rsid w:val="00CF52B2"/>
    <w:rsid w:val="00CF6741"/>
    <w:rsid w:val="00CF7743"/>
    <w:rsid w:val="00CF77BA"/>
    <w:rsid w:val="00D01F79"/>
    <w:rsid w:val="00D07432"/>
    <w:rsid w:val="00D10436"/>
    <w:rsid w:val="00D11048"/>
    <w:rsid w:val="00D12F25"/>
    <w:rsid w:val="00D1325A"/>
    <w:rsid w:val="00D160B9"/>
    <w:rsid w:val="00D20A0E"/>
    <w:rsid w:val="00D41997"/>
    <w:rsid w:val="00D41DFB"/>
    <w:rsid w:val="00D4363C"/>
    <w:rsid w:val="00D43A20"/>
    <w:rsid w:val="00D46061"/>
    <w:rsid w:val="00D46CCA"/>
    <w:rsid w:val="00D47636"/>
    <w:rsid w:val="00D47ABC"/>
    <w:rsid w:val="00D526B9"/>
    <w:rsid w:val="00D57928"/>
    <w:rsid w:val="00D60378"/>
    <w:rsid w:val="00D604A8"/>
    <w:rsid w:val="00D65A31"/>
    <w:rsid w:val="00D67932"/>
    <w:rsid w:val="00D721AE"/>
    <w:rsid w:val="00D724F3"/>
    <w:rsid w:val="00D72742"/>
    <w:rsid w:val="00D72A68"/>
    <w:rsid w:val="00D743F2"/>
    <w:rsid w:val="00D7526A"/>
    <w:rsid w:val="00D825A5"/>
    <w:rsid w:val="00D828AA"/>
    <w:rsid w:val="00D83A65"/>
    <w:rsid w:val="00D85309"/>
    <w:rsid w:val="00D868B5"/>
    <w:rsid w:val="00D90221"/>
    <w:rsid w:val="00D95618"/>
    <w:rsid w:val="00D95F0C"/>
    <w:rsid w:val="00D96609"/>
    <w:rsid w:val="00D96D98"/>
    <w:rsid w:val="00DA24EE"/>
    <w:rsid w:val="00DA3913"/>
    <w:rsid w:val="00DA43E0"/>
    <w:rsid w:val="00DA4442"/>
    <w:rsid w:val="00DA4A5A"/>
    <w:rsid w:val="00DB34D9"/>
    <w:rsid w:val="00DB3B03"/>
    <w:rsid w:val="00DB3E82"/>
    <w:rsid w:val="00DB61F6"/>
    <w:rsid w:val="00DD06E7"/>
    <w:rsid w:val="00DD40FA"/>
    <w:rsid w:val="00DD7917"/>
    <w:rsid w:val="00DE2217"/>
    <w:rsid w:val="00DE22B1"/>
    <w:rsid w:val="00DE2883"/>
    <w:rsid w:val="00DE417A"/>
    <w:rsid w:val="00DF01CD"/>
    <w:rsid w:val="00DF2E6F"/>
    <w:rsid w:val="00DF3366"/>
    <w:rsid w:val="00DF492E"/>
    <w:rsid w:val="00DF5D32"/>
    <w:rsid w:val="00E00758"/>
    <w:rsid w:val="00E00DAA"/>
    <w:rsid w:val="00E05369"/>
    <w:rsid w:val="00E063CF"/>
    <w:rsid w:val="00E0772A"/>
    <w:rsid w:val="00E10E72"/>
    <w:rsid w:val="00E114BF"/>
    <w:rsid w:val="00E12023"/>
    <w:rsid w:val="00E16C56"/>
    <w:rsid w:val="00E224C2"/>
    <w:rsid w:val="00E2476B"/>
    <w:rsid w:val="00E32CA1"/>
    <w:rsid w:val="00E33C61"/>
    <w:rsid w:val="00E34988"/>
    <w:rsid w:val="00E36748"/>
    <w:rsid w:val="00E37634"/>
    <w:rsid w:val="00E52238"/>
    <w:rsid w:val="00E54588"/>
    <w:rsid w:val="00E55C10"/>
    <w:rsid w:val="00E61DB4"/>
    <w:rsid w:val="00E631FC"/>
    <w:rsid w:val="00E651E8"/>
    <w:rsid w:val="00E6557D"/>
    <w:rsid w:val="00E72410"/>
    <w:rsid w:val="00E73099"/>
    <w:rsid w:val="00E74268"/>
    <w:rsid w:val="00E74426"/>
    <w:rsid w:val="00E7466C"/>
    <w:rsid w:val="00E748BE"/>
    <w:rsid w:val="00E81A69"/>
    <w:rsid w:val="00E8361E"/>
    <w:rsid w:val="00E83A59"/>
    <w:rsid w:val="00E918B4"/>
    <w:rsid w:val="00E91DBA"/>
    <w:rsid w:val="00E928C0"/>
    <w:rsid w:val="00E92937"/>
    <w:rsid w:val="00E9353C"/>
    <w:rsid w:val="00E9464C"/>
    <w:rsid w:val="00E9661A"/>
    <w:rsid w:val="00E96EE2"/>
    <w:rsid w:val="00EA0F05"/>
    <w:rsid w:val="00EA3226"/>
    <w:rsid w:val="00EA3A41"/>
    <w:rsid w:val="00EA5B1E"/>
    <w:rsid w:val="00EA7990"/>
    <w:rsid w:val="00EB0AF2"/>
    <w:rsid w:val="00EB1447"/>
    <w:rsid w:val="00EB34AE"/>
    <w:rsid w:val="00EB3965"/>
    <w:rsid w:val="00EB3E26"/>
    <w:rsid w:val="00EB5291"/>
    <w:rsid w:val="00EB5BBB"/>
    <w:rsid w:val="00EB7AED"/>
    <w:rsid w:val="00EB7E73"/>
    <w:rsid w:val="00EC09ED"/>
    <w:rsid w:val="00EC2326"/>
    <w:rsid w:val="00EC2388"/>
    <w:rsid w:val="00EC5B84"/>
    <w:rsid w:val="00EC6E95"/>
    <w:rsid w:val="00ED1776"/>
    <w:rsid w:val="00ED2586"/>
    <w:rsid w:val="00ED75AF"/>
    <w:rsid w:val="00EE11CC"/>
    <w:rsid w:val="00EF1286"/>
    <w:rsid w:val="00EF23BD"/>
    <w:rsid w:val="00EF3A7C"/>
    <w:rsid w:val="00EF40DE"/>
    <w:rsid w:val="00EF51F3"/>
    <w:rsid w:val="00EF7623"/>
    <w:rsid w:val="00EF7CA4"/>
    <w:rsid w:val="00F0186A"/>
    <w:rsid w:val="00F027C5"/>
    <w:rsid w:val="00F02887"/>
    <w:rsid w:val="00F03D26"/>
    <w:rsid w:val="00F062B0"/>
    <w:rsid w:val="00F1098E"/>
    <w:rsid w:val="00F1188E"/>
    <w:rsid w:val="00F12AB2"/>
    <w:rsid w:val="00F14A89"/>
    <w:rsid w:val="00F14B08"/>
    <w:rsid w:val="00F14E7B"/>
    <w:rsid w:val="00F15DB8"/>
    <w:rsid w:val="00F21BBF"/>
    <w:rsid w:val="00F22D11"/>
    <w:rsid w:val="00F253E9"/>
    <w:rsid w:val="00F27659"/>
    <w:rsid w:val="00F30BD1"/>
    <w:rsid w:val="00F30C3D"/>
    <w:rsid w:val="00F31697"/>
    <w:rsid w:val="00F34C89"/>
    <w:rsid w:val="00F35866"/>
    <w:rsid w:val="00F369F8"/>
    <w:rsid w:val="00F373EB"/>
    <w:rsid w:val="00F42350"/>
    <w:rsid w:val="00F51B5D"/>
    <w:rsid w:val="00F5212C"/>
    <w:rsid w:val="00F52857"/>
    <w:rsid w:val="00F70085"/>
    <w:rsid w:val="00F70A8C"/>
    <w:rsid w:val="00F74E3E"/>
    <w:rsid w:val="00F7590B"/>
    <w:rsid w:val="00F77A38"/>
    <w:rsid w:val="00F801EB"/>
    <w:rsid w:val="00F80361"/>
    <w:rsid w:val="00F81215"/>
    <w:rsid w:val="00F84322"/>
    <w:rsid w:val="00F913F5"/>
    <w:rsid w:val="00F924DF"/>
    <w:rsid w:val="00F92999"/>
    <w:rsid w:val="00F95C40"/>
    <w:rsid w:val="00FA45B8"/>
    <w:rsid w:val="00FA47BD"/>
    <w:rsid w:val="00FA5F21"/>
    <w:rsid w:val="00FA7F1E"/>
    <w:rsid w:val="00FB3543"/>
    <w:rsid w:val="00FB54D0"/>
    <w:rsid w:val="00FC3CAA"/>
    <w:rsid w:val="00FC44D3"/>
    <w:rsid w:val="00FC4B23"/>
    <w:rsid w:val="00FC695A"/>
    <w:rsid w:val="00FC6BD6"/>
    <w:rsid w:val="00FD567E"/>
    <w:rsid w:val="00FD6431"/>
    <w:rsid w:val="00FD7CAC"/>
    <w:rsid w:val="00FE0566"/>
    <w:rsid w:val="00FE0C94"/>
    <w:rsid w:val="00FE34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5657"/>
    <w:pPr>
      <w:spacing w:before="80" w:after="80"/>
      <w:jc w:val="both"/>
    </w:pPr>
    <w:rPr>
      <w:szCs w:val="24"/>
    </w:rPr>
  </w:style>
  <w:style w:type="paragraph" w:styleId="Nadpis1">
    <w:name w:val="heading 1"/>
    <w:basedOn w:val="Normln"/>
    <w:next w:val="Normln"/>
    <w:link w:val="Nadpis1Char"/>
    <w:uiPriority w:val="9"/>
    <w:qFormat/>
    <w:rsid w:val="006A1FD8"/>
    <w:pPr>
      <w:keepNext/>
      <w:numPr>
        <w:numId w:val="14"/>
      </w:numPr>
      <w:spacing w:before="240"/>
      <w:ind w:left="360"/>
      <w:outlineLvl w:val="0"/>
    </w:pPr>
    <w:rPr>
      <w:rFonts w:asciiTheme="majorHAnsi" w:eastAsiaTheme="majorEastAsia" w:hAnsiTheme="majorHAnsi" w:cstheme="majorBidi"/>
      <w:b/>
      <w:bCs/>
      <w:kern w:val="32"/>
      <w:sz w:val="32"/>
      <w:szCs w:val="32"/>
    </w:rPr>
  </w:style>
  <w:style w:type="paragraph" w:styleId="Nadpis2">
    <w:name w:val="heading 2"/>
    <w:basedOn w:val="Nadpis1"/>
    <w:next w:val="Normln"/>
    <w:link w:val="Nadpis2Char"/>
    <w:uiPriority w:val="9"/>
    <w:unhideWhenUsed/>
    <w:qFormat/>
    <w:rsid w:val="006A1FD8"/>
    <w:pPr>
      <w:numPr>
        <w:ilvl w:val="1"/>
      </w:numPr>
      <w:outlineLvl w:val="1"/>
    </w:pPr>
    <w:rPr>
      <w:sz w:val="28"/>
    </w:rPr>
  </w:style>
  <w:style w:type="paragraph" w:styleId="Nadpis3">
    <w:name w:val="heading 3"/>
    <w:basedOn w:val="Normln"/>
    <w:next w:val="Normln"/>
    <w:link w:val="Nadpis3Char"/>
    <w:uiPriority w:val="9"/>
    <w:unhideWhenUsed/>
    <w:qFormat/>
    <w:rsid w:val="00F34C89"/>
    <w:pPr>
      <w:keepNext/>
      <w:spacing w:before="24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unhideWhenUsed/>
    <w:qFormat/>
    <w:rsid w:val="00F34C89"/>
    <w:pPr>
      <w:keepNext/>
      <w:spacing w:before="240"/>
      <w:outlineLvl w:val="3"/>
    </w:pPr>
    <w:rPr>
      <w:rFonts w:cstheme="majorBidi"/>
      <w:b/>
      <w:bCs/>
      <w:sz w:val="28"/>
      <w:szCs w:val="28"/>
    </w:rPr>
  </w:style>
  <w:style w:type="paragraph" w:styleId="Nadpis5">
    <w:name w:val="heading 5"/>
    <w:basedOn w:val="Normln"/>
    <w:next w:val="Normln"/>
    <w:link w:val="Nadpis5Char"/>
    <w:uiPriority w:val="9"/>
    <w:unhideWhenUsed/>
    <w:qFormat/>
    <w:rsid w:val="00F34C89"/>
    <w:pPr>
      <w:spacing w:before="240"/>
      <w:outlineLvl w:val="4"/>
    </w:pPr>
    <w:rPr>
      <w:rFonts w:cstheme="majorBidi"/>
      <w:b/>
      <w:bCs/>
      <w:i/>
      <w:iCs/>
      <w:sz w:val="26"/>
      <w:szCs w:val="26"/>
    </w:rPr>
  </w:style>
  <w:style w:type="paragraph" w:styleId="Nadpis6">
    <w:name w:val="heading 6"/>
    <w:basedOn w:val="Normln"/>
    <w:next w:val="Normln"/>
    <w:link w:val="Nadpis6Char"/>
    <w:uiPriority w:val="9"/>
    <w:unhideWhenUsed/>
    <w:qFormat/>
    <w:rsid w:val="00F34C89"/>
    <w:pPr>
      <w:spacing w:before="240"/>
      <w:outlineLvl w:val="5"/>
    </w:pPr>
    <w:rPr>
      <w:rFonts w:cstheme="majorBidi"/>
      <w:b/>
      <w:bCs/>
      <w:szCs w:val="22"/>
    </w:rPr>
  </w:style>
  <w:style w:type="paragraph" w:styleId="Nadpis7">
    <w:name w:val="heading 7"/>
    <w:basedOn w:val="Normln"/>
    <w:next w:val="Normln"/>
    <w:link w:val="Nadpis7Char"/>
    <w:uiPriority w:val="9"/>
    <w:unhideWhenUsed/>
    <w:qFormat/>
    <w:rsid w:val="00F34C89"/>
    <w:pPr>
      <w:spacing w:before="240"/>
      <w:outlineLvl w:val="6"/>
    </w:pPr>
    <w:rPr>
      <w:rFonts w:cstheme="majorBidi"/>
    </w:rPr>
  </w:style>
  <w:style w:type="paragraph" w:styleId="Nadpis8">
    <w:name w:val="heading 8"/>
    <w:basedOn w:val="Normln"/>
    <w:next w:val="Normln"/>
    <w:link w:val="Nadpis8Char"/>
    <w:uiPriority w:val="9"/>
    <w:unhideWhenUsed/>
    <w:qFormat/>
    <w:rsid w:val="00F34C89"/>
    <w:pPr>
      <w:spacing w:before="240"/>
      <w:outlineLvl w:val="7"/>
    </w:pPr>
    <w:rPr>
      <w:rFonts w:cstheme="majorBidi"/>
      <w:i/>
      <w:iCs/>
    </w:rPr>
  </w:style>
  <w:style w:type="paragraph" w:styleId="Nadpis9">
    <w:name w:val="heading 9"/>
    <w:basedOn w:val="Normln"/>
    <w:next w:val="Normln"/>
    <w:link w:val="Nadpis9Char"/>
    <w:uiPriority w:val="9"/>
    <w:unhideWhenUsed/>
    <w:qFormat/>
    <w:rsid w:val="00F34C89"/>
    <w:pPr>
      <w:spacing w:before="240"/>
      <w:outlineLvl w:val="8"/>
    </w:pPr>
    <w:rPr>
      <w:rFonts w:asciiTheme="majorHAnsi" w:eastAsiaTheme="majorEastAsia" w:hAnsiTheme="majorHAnsi" w:cstheme="majorBidi"/>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A1FD8"/>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rsid w:val="006A1FD8"/>
    <w:rPr>
      <w:rFonts w:asciiTheme="majorHAnsi" w:eastAsiaTheme="majorEastAsia" w:hAnsiTheme="majorHAnsi" w:cstheme="majorBidi"/>
      <w:b/>
      <w:bCs/>
      <w:kern w:val="32"/>
      <w:sz w:val="28"/>
      <w:szCs w:val="32"/>
    </w:rPr>
  </w:style>
  <w:style w:type="character" w:customStyle="1" w:styleId="Nadpis3Char">
    <w:name w:val="Nadpis 3 Char"/>
    <w:basedOn w:val="Standardnpsmoodstavce"/>
    <w:link w:val="Nadpis3"/>
    <w:uiPriority w:val="9"/>
    <w:rsid w:val="00F34C89"/>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rsid w:val="00F34C89"/>
    <w:rPr>
      <w:rFonts w:cstheme="majorBidi"/>
      <w:b/>
      <w:bCs/>
      <w:sz w:val="28"/>
      <w:szCs w:val="28"/>
    </w:rPr>
  </w:style>
  <w:style w:type="character" w:customStyle="1" w:styleId="Nadpis5Char">
    <w:name w:val="Nadpis 5 Char"/>
    <w:basedOn w:val="Standardnpsmoodstavce"/>
    <w:link w:val="Nadpis5"/>
    <w:uiPriority w:val="9"/>
    <w:rsid w:val="00F34C89"/>
    <w:rPr>
      <w:rFonts w:cstheme="majorBidi"/>
      <w:b/>
      <w:bCs/>
      <w:i/>
      <w:iCs/>
      <w:sz w:val="26"/>
      <w:szCs w:val="26"/>
    </w:rPr>
  </w:style>
  <w:style w:type="character" w:customStyle="1" w:styleId="Nadpis6Char">
    <w:name w:val="Nadpis 6 Char"/>
    <w:basedOn w:val="Standardnpsmoodstavce"/>
    <w:link w:val="Nadpis6"/>
    <w:uiPriority w:val="9"/>
    <w:rsid w:val="00F34C89"/>
    <w:rPr>
      <w:rFonts w:cstheme="majorBidi"/>
      <w:b/>
      <w:bCs/>
    </w:rPr>
  </w:style>
  <w:style w:type="character" w:customStyle="1" w:styleId="Nadpis7Char">
    <w:name w:val="Nadpis 7 Char"/>
    <w:basedOn w:val="Standardnpsmoodstavce"/>
    <w:link w:val="Nadpis7"/>
    <w:uiPriority w:val="9"/>
    <w:rsid w:val="00F34C89"/>
    <w:rPr>
      <w:rFonts w:cstheme="majorBidi"/>
      <w:sz w:val="24"/>
      <w:szCs w:val="24"/>
    </w:rPr>
  </w:style>
  <w:style w:type="character" w:customStyle="1" w:styleId="Nadpis8Char">
    <w:name w:val="Nadpis 8 Char"/>
    <w:basedOn w:val="Standardnpsmoodstavce"/>
    <w:link w:val="Nadpis8"/>
    <w:uiPriority w:val="9"/>
    <w:rsid w:val="00F34C89"/>
    <w:rPr>
      <w:rFonts w:cstheme="majorBidi"/>
      <w:i/>
      <w:iCs/>
      <w:sz w:val="24"/>
      <w:szCs w:val="24"/>
    </w:rPr>
  </w:style>
  <w:style w:type="character" w:customStyle="1" w:styleId="Nadpis9Char">
    <w:name w:val="Nadpis 9 Char"/>
    <w:basedOn w:val="Standardnpsmoodstavce"/>
    <w:link w:val="Nadpis9"/>
    <w:uiPriority w:val="9"/>
    <w:rsid w:val="00F34C89"/>
    <w:rPr>
      <w:rFonts w:asciiTheme="majorHAnsi" w:eastAsiaTheme="majorEastAsia" w:hAnsiTheme="majorHAnsi" w:cstheme="majorBidi"/>
    </w:rPr>
  </w:style>
  <w:style w:type="paragraph" w:styleId="Nzev">
    <w:name w:val="Title"/>
    <w:basedOn w:val="Normln"/>
    <w:next w:val="Normln"/>
    <w:link w:val="NzevChar"/>
    <w:uiPriority w:val="10"/>
    <w:qFormat/>
    <w:rsid w:val="00F34C89"/>
    <w:pPr>
      <w:spacing w:before="24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F34C89"/>
    <w:rPr>
      <w:rFonts w:asciiTheme="majorHAnsi" w:eastAsiaTheme="majorEastAsia" w:hAnsiTheme="majorHAnsi" w:cstheme="majorBidi"/>
      <w:b/>
      <w:bCs/>
      <w:kern w:val="28"/>
      <w:sz w:val="32"/>
      <w:szCs w:val="32"/>
    </w:rPr>
  </w:style>
  <w:style w:type="paragraph" w:styleId="Podtitul">
    <w:name w:val="Subtitle"/>
    <w:basedOn w:val="Normln"/>
    <w:next w:val="Normln"/>
    <w:link w:val="PodtitulChar"/>
    <w:uiPriority w:val="11"/>
    <w:qFormat/>
    <w:rsid w:val="00F34C89"/>
    <w:pPr>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F34C89"/>
    <w:rPr>
      <w:rFonts w:asciiTheme="majorHAnsi" w:eastAsiaTheme="majorEastAsia" w:hAnsiTheme="majorHAnsi" w:cstheme="majorBidi"/>
      <w:sz w:val="24"/>
      <w:szCs w:val="24"/>
    </w:rPr>
  </w:style>
  <w:style w:type="paragraph" w:styleId="Bezmezer">
    <w:name w:val="No Spacing"/>
    <w:basedOn w:val="Normln"/>
    <w:link w:val="BezmezerChar"/>
    <w:uiPriority w:val="1"/>
    <w:qFormat/>
    <w:rsid w:val="00F34C89"/>
    <w:rPr>
      <w:szCs w:val="32"/>
    </w:rPr>
  </w:style>
  <w:style w:type="paragraph" w:styleId="Odstavecseseznamem">
    <w:name w:val="List Paragraph"/>
    <w:basedOn w:val="Normln"/>
    <w:uiPriority w:val="34"/>
    <w:qFormat/>
    <w:rsid w:val="00F34C89"/>
    <w:pPr>
      <w:ind w:left="720"/>
      <w:contextualSpacing/>
    </w:pPr>
  </w:style>
  <w:style w:type="paragraph" w:styleId="Nadpisobsahu">
    <w:name w:val="TOC Heading"/>
    <w:basedOn w:val="Nadpis1"/>
    <w:next w:val="Normln"/>
    <w:uiPriority w:val="39"/>
    <w:unhideWhenUsed/>
    <w:qFormat/>
    <w:rsid w:val="000F7D54"/>
    <w:pPr>
      <w:numPr>
        <w:numId w:val="0"/>
      </w:numPr>
      <w:outlineLvl w:val="9"/>
    </w:pPr>
  </w:style>
  <w:style w:type="character" w:styleId="Siln">
    <w:name w:val="Strong"/>
    <w:basedOn w:val="Standardnpsmoodstavce"/>
    <w:uiPriority w:val="22"/>
    <w:qFormat/>
    <w:rsid w:val="00F34C89"/>
    <w:rPr>
      <w:b/>
      <w:bCs/>
    </w:rPr>
  </w:style>
  <w:style w:type="character" w:styleId="Zvraznn">
    <w:name w:val="Emphasis"/>
    <w:basedOn w:val="Standardnpsmoodstavce"/>
    <w:uiPriority w:val="20"/>
    <w:qFormat/>
    <w:rsid w:val="00F34C89"/>
    <w:rPr>
      <w:rFonts w:asciiTheme="minorHAnsi" w:hAnsiTheme="minorHAnsi"/>
      <w:b/>
      <w:i/>
      <w:iCs/>
    </w:rPr>
  </w:style>
  <w:style w:type="character" w:customStyle="1" w:styleId="BezmezerChar">
    <w:name w:val="Bez mezer Char"/>
    <w:basedOn w:val="Standardnpsmoodstavce"/>
    <w:link w:val="Bezmezer"/>
    <w:uiPriority w:val="1"/>
    <w:rsid w:val="00164BD1"/>
    <w:rPr>
      <w:sz w:val="24"/>
      <w:szCs w:val="32"/>
    </w:rPr>
  </w:style>
  <w:style w:type="paragraph" w:styleId="Citt">
    <w:name w:val="Quote"/>
    <w:basedOn w:val="Normln"/>
    <w:next w:val="Normln"/>
    <w:link w:val="CittChar"/>
    <w:uiPriority w:val="29"/>
    <w:qFormat/>
    <w:rsid w:val="00F34C89"/>
    <w:rPr>
      <w:i/>
    </w:rPr>
  </w:style>
  <w:style w:type="character" w:customStyle="1" w:styleId="CittChar">
    <w:name w:val="Citát Char"/>
    <w:basedOn w:val="Standardnpsmoodstavce"/>
    <w:link w:val="Citt"/>
    <w:uiPriority w:val="29"/>
    <w:rsid w:val="00F34C89"/>
    <w:rPr>
      <w:i/>
      <w:sz w:val="24"/>
      <w:szCs w:val="24"/>
    </w:rPr>
  </w:style>
  <w:style w:type="paragraph" w:styleId="Vrazncitt">
    <w:name w:val="Intense Quote"/>
    <w:basedOn w:val="Normln"/>
    <w:next w:val="Normln"/>
    <w:link w:val="VrazncittChar"/>
    <w:uiPriority w:val="30"/>
    <w:qFormat/>
    <w:rsid w:val="00F34C89"/>
    <w:pPr>
      <w:ind w:left="720" w:right="720"/>
    </w:pPr>
    <w:rPr>
      <w:b/>
      <w:i/>
      <w:szCs w:val="22"/>
    </w:rPr>
  </w:style>
  <w:style w:type="character" w:customStyle="1" w:styleId="VrazncittChar">
    <w:name w:val="Výrazný citát Char"/>
    <w:basedOn w:val="Standardnpsmoodstavce"/>
    <w:link w:val="Vrazncitt"/>
    <w:uiPriority w:val="30"/>
    <w:rsid w:val="00F34C89"/>
    <w:rPr>
      <w:b/>
      <w:i/>
      <w:sz w:val="24"/>
    </w:rPr>
  </w:style>
  <w:style w:type="character" w:styleId="Zdraznnjemn">
    <w:name w:val="Subtle Emphasis"/>
    <w:uiPriority w:val="19"/>
    <w:qFormat/>
    <w:rsid w:val="00F34C89"/>
    <w:rPr>
      <w:i/>
      <w:color w:val="5A5A5A" w:themeColor="text1" w:themeTint="A5"/>
    </w:rPr>
  </w:style>
  <w:style w:type="character" w:styleId="Zdraznnintenzivn">
    <w:name w:val="Intense Emphasis"/>
    <w:basedOn w:val="Standardnpsmoodstavce"/>
    <w:uiPriority w:val="21"/>
    <w:qFormat/>
    <w:rsid w:val="00F34C89"/>
    <w:rPr>
      <w:b/>
      <w:i/>
      <w:sz w:val="24"/>
      <w:szCs w:val="24"/>
      <w:u w:val="single"/>
    </w:rPr>
  </w:style>
  <w:style w:type="character" w:styleId="Odkazjemn">
    <w:name w:val="Subtle Reference"/>
    <w:basedOn w:val="Standardnpsmoodstavce"/>
    <w:uiPriority w:val="31"/>
    <w:qFormat/>
    <w:rsid w:val="00F34C89"/>
    <w:rPr>
      <w:sz w:val="24"/>
      <w:szCs w:val="24"/>
      <w:u w:val="single"/>
    </w:rPr>
  </w:style>
  <w:style w:type="character" w:styleId="Odkazintenzivn">
    <w:name w:val="Intense Reference"/>
    <w:basedOn w:val="Standardnpsmoodstavce"/>
    <w:uiPriority w:val="32"/>
    <w:qFormat/>
    <w:rsid w:val="00F34C89"/>
    <w:rPr>
      <w:b/>
      <w:sz w:val="24"/>
      <w:u w:val="single"/>
    </w:rPr>
  </w:style>
  <w:style w:type="character" w:styleId="Nzevknihy">
    <w:name w:val="Book Title"/>
    <w:basedOn w:val="Standardnpsmoodstavce"/>
    <w:uiPriority w:val="33"/>
    <w:qFormat/>
    <w:rsid w:val="00F34C89"/>
    <w:rPr>
      <w:rFonts w:asciiTheme="majorHAnsi" w:eastAsiaTheme="majorEastAsia" w:hAnsiTheme="majorHAnsi"/>
      <w:b/>
      <w:i/>
      <w:sz w:val="24"/>
      <w:szCs w:val="24"/>
    </w:rPr>
  </w:style>
  <w:style w:type="paragraph" w:styleId="Textbubliny">
    <w:name w:val="Balloon Text"/>
    <w:basedOn w:val="Normln"/>
    <w:link w:val="TextbublinyChar"/>
    <w:uiPriority w:val="99"/>
    <w:semiHidden/>
    <w:unhideWhenUsed/>
    <w:rsid w:val="00914D8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4D82"/>
    <w:rPr>
      <w:rFonts w:ascii="Segoe UI" w:hAnsi="Segoe UI" w:cs="Segoe UI"/>
      <w:sz w:val="18"/>
      <w:szCs w:val="18"/>
    </w:rPr>
  </w:style>
  <w:style w:type="table" w:styleId="Mkatabulky">
    <w:name w:val="Table Grid"/>
    <w:basedOn w:val="Normlntabulka"/>
    <w:uiPriority w:val="59"/>
    <w:rsid w:val="00BE4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link w:val="TitulekChar"/>
    <w:uiPriority w:val="35"/>
    <w:unhideWhenUsed/>
    <w:rsid w:val="007749B9"/>
    <w:pPr>
      <w:spacing w:after="200"/>
    </w:pPr>
    <w:rPr>
      <w:b/>
      <w:bCs/>
      <w:color w:val="629DD1" w:themeColor="accent1"/>
      <w:sz w:val="18"/>
      <w:szCs w:val="18"/>
    </w:rPr>
  </w:style>
  <w:style w:type="paragraph" w:styleId="Obsah1">
    <w:name w:val="toc 1"/>
    <w:basedOn w:val="Normln"/>
    <w:next w:val="Normln"/>
    <w:autoRedefine/>
    <w:uiPriority w:val="39"/>
    <w:unhideWhenUsed/>
    <w:rsid w:val="00B6129A"/>
    <w:pPr>
      <w:spacing w:after="100"/>
    </w:pPr>
  </w:style>
  <w:style w:type="paragraph" w:styleId="Obsah2">
    <w:name w:val="toc 2"/>
    <w:basedOn w:val="Normln"/>
    <w:next w:val="Normln"/>
    <w:autoRedefine/>
    <w:uiPriority w:val="39"/>
    <w:unhideWhenUsed/>
    <w:rsid w:val="00B6129A"/>
    <w:pPr>
      <w:spacing w:after="100"/>
      <w:ind w:left="240"/>
    </w:pPr>
  </w:style>
  <w:style w:type="character" w:styleId="Hypertextovodkaz">
    <w:name w:val="Hyperlink"/>
    <w:basedOn w:val="Standardnpsmoodstavce"/>
    <w:uiPriority w:val="99"/>
    <w:unhideWhenUsed/>
    <w:rsid w:val="00B6129A"/>
    <w:rPr>
      <w:color w:val="9454C3" w:themeColor="hyperlink"/>
      <w:u w:val="single"/>
    </w:rPr>
  </w:style>
  <w:style w:type="paragraph" w:styleId="Zhlav">
    <w:name w:val="header"/>
    <w:basedOn w:val="Normln"/>
    <w:link w:val="ZhlavChar"/>
    <w:uiPriority w:val="99"/>
    <w:unhideWhenUsed/>
    <w:rsid w:val="00B6129A"/>
    <w:pPr>
      <w:tabs>
        <w:tab w:val="center" w:pos="4536"/>
        <w:tab w:val="right" w:pos="9072"/>
      </w:tabs>
      <w:spacing w:before="0" w:after="0"/>
    </w:pPr>
  </w:style>
  <w:style w:type="character" w:customStyle="1" w:styleId="ZhlavChar">
    <w:name w:val="Záhlaví Char"/>
    <w:basedOn w:val="Standardnpsmoodstavce"/>
    <w:link w:val="Zhlav"/>
    <w:uiPriority w:val="99"/>
    <w:rsid w:val="00B6129A"/>
    <w:rPr>
      <w:sz w:val="24"/>
      <w:szCs w:val="24"/>
    </w:rPr>
  </w:style>
  <w:style w:type="paragraph" w:styleId="Zpat">
    <w:name w:val="footer"/>
    <w:basedOn w:val="Normln"/>
    <w:link w:val="ZpatChar"/>
    <w:uiPriority w:val="99"/>
    <w:unhideWhenUsed/>
    <w:rsid w:val="00B6129A"/>
    <w:pPr>
      <w:tabs>
        <w:tab w:val="center" w:pos="4536"/>
        <w:tab w:val="right" w:pos="9072"/>
      </w:tabs>
      <w:spacing w:before="0" w:after="0"/>
    </w:pPr>
  </w:style>
  <w:style w:type="character" w:customStyle="1" w:styleId="ZpatChar">
    <w:name w:val="Zápatí Char"/>
    <w:basedOn w:val="Standardnpsmoodstavce"/>
    <w:link w:val="Zpat"/>
    <w:uiPriority w:val="99"/>
    <w:rsid w:val="00B6129A"/>
    <w:rPr>
      <w:sz w:val="24"/>
      <w:szCs w:val="24"/>
    </w:rPr>
  </w:style>
  <w:style w:type="paragraph" w:styleId="Seznamobrzk">
    <w:name w:val="table of figures"/>
    <w:basedOn w:val="Normln"/>
    <w:next w:val="Normln"/>
    <w:uiPriority w:val="99"/>
    <w:unhideWhenUsed/>
    <w:rsid w:val="00C7303A"/>
    <w:pPr>
      <w:spacing w:after="0"/>
    </w:pPr>
  </w:style>
  <w:style w:type="paragraph" w:customStyle="1" w:styleId="Tabulka">
    <w:name w:val="Tabulka"/>
    <w:basedOn w:val="Titulek"/>
    <w:link w:val="TabulkaChar"/>
    <w:qFormat/>
    <w:rsid w:val="009638B8"/>
    <w:pPr>
      <w:jc w:val="center"/>
    </w:pPr>
    <w:rPr>
      <w:color w:val="auto"/>
    </w:rPr>
  </w:style>
  <w:style w:type="character" w:customStyle="1" w:styleId="TitulekChar">
    <w:name w:val="Titulek Char"/>
    <w:basedOn w:val="Standardnpsmoodstavce"/>
    <w:link w:val="Titulek"/>
    <w:uiPriority w:val="35"/>
    <w:rsid w:val="009638B8"/>
    <w:rPr>
      <w:b/>
      <w:bCs/>
      <w:color w:val="629DD1" w:themeColor="accent1"/>
      <w:sz w:val="18"/>
      <w:szCs w:val="18"/>
    </w:rPr>
  </w:style>
  <w:style w:type="character" w:customStyle="1" w:styleId="TabulkaChar">
    <w:name w:val="Tabulka Char"/>
    <w:basedOn w:val="TitulekChar"/>
    <w:link w:val="Tabulka"/>
    <w:rsid w:val="009638B8"/>
    <w:rPr>
      <w:b/>
      <w:bCs/>
      <w:color w:val="629DD1" w:themeColor="accent1"/>
      <w:sz w:val="18"/>
      <w:szCs w:val="18"/>
    </w:rPr>
  </w:style>
  <w:style w:type="character" w:styleId="slostrnky">
    <w:name w:val="page number"/>
    <w:basedOn w:val="Standardnpsmoodstavce"/>
    <w:rsid w:val="00D966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5657"/>
    <w:pPr>
      <w:spacing w:before="80" w:after="80"/>
      <w:jc w:val="both"/>
    </w:pPr>
    <w:rPr>
      <w:szCs w:val="24"/>
    </w:rPr>
  </w:style>
  <w:style w:type="paragraph" w:styleId="Nadpis1">
    <w:name w:val="heading 1"/>
    <w:basedOn w:val="Normln"/>
    <w:next w:val="Normln"/>
    <w:link w:val="Nadpis1Char"/>
    <w:uiPriority w:val="9"/>
    <w:qFormat/>
    <w:rsid w:val="006A1FD8"/>
    <w:pPr>
      <w:keepNext/>
      <w:numPr>
        <w:numId w:val="14"/>
      </w:numPr>
      <w:spacing w:before="240"/>
      <w:ind w:left="360"/>
      <w:outlineLvl w:val="0"/>
    </w:pPr>
    <w:rPr>
      <w:rFonts w:asciiTheme="majorHAnsi" w:eastAsiaTheme="majorEastAsia" w:hAnsiTheme="majorHAnsi" w:cstheme="majorBidi"/>
      <w:b/>
      <w:bCs/>
      <w:kern w:val="32"/>
      <w:sz w:val="32"/>
      <w:szCs w:val="32"/>
    </w:rPr>
  </w:style>
  <w:style w:type="paragraph" w:styleId="Nadpis2">
    <w:name w:val="heading 2"/>
    <w:basedOn w:val="Nadpis1"/>
    <w:next w:val="Normln"/>
    <w:link w:val="Nadpis2Char"/>
    <w:uiPriority w:val="9"/>
    <w:unhideWhenUsed/>
    <w:qFormat/>
    <w:rsid w:val="006A1FD8"/>
    <w:pPr>
      <w:numPr>
        <w:ilvl w:val="1"/>
      </w:numPr>
      <w:outlineLvl w:val="1"/>
    </w:pPr>
    <w:rPr>
      <w:sz w:val="28"/>
    </w:rPr>
  </w:style>
  <w:style w:type="paragraph" w:styleId="Nadpis3">
    <w:name w:val="heading 3"/>
    <w:basedOn w:val="Normln"/>
    <w:next w:val="Normln"/>
    <w:link w:val="Nadpis3Char"/>
    <w:uiPriority w:val="9"/>
    <w:unhideWhenUsed/>
    <w:qFormat/>
    <w:rsid w:val="00F34C89"/>
    <w:pPr>
      <w:keepNext/>
      <w:spacing w:before="24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unhideWhenUsed/>
    <w:qFormat/>
    <w:rsid w:val="00F34C89"/>
    <w:pPr>
      <w:keepNext/>
      <w:spacing w:before="240"/>
      <w:outlineLvl w:val="3"/>
    </w:pPr>
    <w:rPr>
      <w:rFonts w:cstheme="majorBidi"/>
      <w:b/>
      <w:bCs/>
      <w:sz w:val="28"/>
      <w:szCs w:val="28"/>
    </w:rPr>
  </w:style>
  <w:style w:type="paragraph" w:styleId="Nadpis5">
    <w:name w:val="heading 5"/>
    <w:basedOn w:val="Normln"/>
    <w:next w:val="Normln"/>
    <w:link w:val="Nadpis5Char"/>
    <w:uiPriority w:val="9"/>
    <w:unhideWhenUsed/>
    <w:qFormat/>
    <w:rsid w:val="00F34C89"/>
    <w:pPr>
      <w:spacing w:before="240"/>
      <w:outlineLvl w:val="4"/>
    </w:pPr>
    <w:rPr>
      <w:rFonts w:cstheme="majorBidi"/>
      <w:b/>
      <w:bCs/>
      <w:i/>
      <w:iCs/>
      <w:sz w:val="26"/>
      <w:szCs w:val="26"/>
    </w:rPr>
  </w:style>
  <w:style w:type="paragraph" w:styleId="Nadpis6">
    <w:name w:val="heading 6"/>
    <w:basedOn w:val="Normln"/>
    <w:next w:val="Normln"/>
    <w:link w:val="Nadpis6Char"/>
    <w:uiPriority w:val="9"/>
    <w:unhideWhenUsed/>
    <w:qFormat/>
    <w:rsid w:val="00F34C89"/>
    <w:pPr>
      <w:spacing w:before="240"/>
      <w:outlineLvl w:val="5"/>
    </w:pPr>
    <w:rPr>
      <w:rFonts w:cstheme="majorBidi"/>
      <w:b/>
      <w:bCs/>
      <w:szCs w:val="22"/>
    </w:rPr>
  </w:style>
  <w:style w:type="paragraph" w:styleId="Nadpis7">
    <w:name w:val="heading 7"/>
    <w:basedOn w:val="Normln"/>
    <w:next w:val="Normln"/>
    <w:link w:val="Nadpis7Char"/>
    <w:uiPriority w:val="9"/>
    <w:unhideWhenUsed/>
    <w:qFormat/>
    <w:rsid w:val="00F34C89"/>
    <w:pPr>
      <w:spacing w:before="240"/>
      <w:outlineLvl w:val="6"/>
    </w:pPr>
    <w:rPr>
      <w:rFonts w:cstheme="majorBidi"/>
    </w:rPr>
  </w:style>
  <w:style w:type="paragraph" w:styleId="Nadpis8">
    <w:name w:val="heading 8"/>
    <w:basedOn w:val="Normln"/>
    <w:next w:val="Normln"/>
    <w:link w:val="Nadpis8Char"/>
    <w:uiPriority w:val="9"/>
    <w:unhideWhenUsed/>
    <w:qFormat/>
    <w:rsid w:val="00F34C89"/>
    <w:pPr>
      <w:spacing w:before="240"/>
      <w:outlineLvl w:val="7"/>
    </w:pPr>
    <w:rPr>
      <w:rFonts w:cstheme="majorBidi"/>
      <w:i/>
      <w:iCs/>
    </w:rPr>
  </w:style>
  <w:style w:type="paragraph" w:styleId="Nadpis9">
    <w:name w:val="heading 9"/>
    <w:basedOn w:val="Normln"/>
    <w:next w:val="Normln"/>
    <w:link w:val="Nadpis9Char"/>
    <w:uiPriority w:val="9"/>
    <w:unhideWhenUsed/>
    <w:qFormat/>
    <w:rsid w:val="00F34C89"/>
    <w:pPr>
      <w:spacing w:before="240"/>
      <w:outlineLvl w:val="8"/>
    </w:pPr>
    <w:rPr>
      <w:rFonts w:asciiTheme="majorHAnsi" w:eastAsiaTheme="majorEastAsia" w:hAnsiTheme="majorHAnsi" w:cstheme="majorBidi"/>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A1FD8"/>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rsid w:val="006A1FD8"/>
    <w:rPr>
      <w:rFonts w:asciiTheme="majorHAnsi" w:eastAsiaTheme="majorEastAsia" w:hAnsiTheme="majorHAnsi" w:cstheme="majorBidi"/>
      <w:b/>
      <w:bCs/>
      <w:kern w:val="32"/>
      <w:sz w:val="28"/>
      <w:szCs w:val="32"/>
    </w:rPr>
  </w:style>
  <w:style w:type="character" w:customStyle="1" w:styleId="Nadpis3Char">
    <w:name w:val="Nadpis 3 Char"/>
    <w:basedOn w:val="Standardnpsmoodstavce"/>
    <w:link w:val="Nadpis3"/>
    <w:uiPriority w:val="9"/>
    <w:rsid w:val="00F34C89"/>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rsid w:val="00F34C89"/>
    <w:rPr>
      <w:rFonts w:cstheme="majorBidi"/>
      <w:b/>
      <w:bCs/>
      <w:sz w:val="28"/>
      <w:szCs w:val="28"/>
    </w:rPr>
  </w:style>
  <w:style w:type="character" w:customStyle="1" w:styleId="Nadpis5Char">
    <w:name w:val="Nadpis 5 Char"/>
    <w:basedOn w:val="Standardnpsmoodstavce"/>
    <w:link w:val="Nadpis5"/>
    <w:uiPriority w:val="9"/>
    <w:rsid w:val="00F34C89"/>
    <w:rPr>
      <w:rFonts w:cstheme="majorBidi"/>
      <w:b/>
      <w:bCs/>
      <w:i/>
      <w:iCs/>
      <w:sz w:val="26"/>
      <w:szCs w:val="26"/>
    </w:rPr>
  </w:style>
  <w:style w:type="character" w:customStyle="1" w:styleId="Nadpis6Char">
    <w:name w:val="Nadpis 6 Char"/>
    <w:basedOn w:val="Standardnpsmoodstavce"/>
    <w:link w:val="Nadpis6"/>
    <w:uiPriority w:val="9"/>
    <w:rsid w:val="00F34C89"/>
    <w:rPr>
      <w:rFonts w:cstheme="majorBidi"/>
      <w:b/>
      <w:bCs/>
    </w:rPr>
  </w:style>
  <w:style w:type="character" w:customStyle="1" w:styleId="Nadpis7Char">
    <w:name w:val="Nadpis 7 Char"/>
    <w:basedOn w:val="Standardnpsmoodstavce"/>
    <w:link w:val="Nadpis7"/>
    <w:uiPriority w:val="9"/>
    <w:rsid w:val="00F34C89"/>
    <w:rPr>
      <w:rFonts w:cstheme="majorBidi"/>
      <w:sz w:val="24"/>
      <w:szCs w:val="24"/>
    </w:rPr>
  </w:style>
  <w:style w:type="character" w:customStyle="1" w:styleId="Nadpis8Char">
    <w:name w:val="Nadpis 8 Char"/>
    <w:basedOn w:val="Standardnpsmoodstavce"/>
    <w:link w:val="Nadpis8"/>
    <w:uiPriority w:val="9"/>
    <w:rsid w:val="00F34C89"/>
    <w:rPr>
      <w:rFonts w:cstheme="majorBidi"/>
      <w:i/>
      <w:iCs/>
      <w:sz w:val="24"/>
      <w:szCs w:val="24"/>
    </w:rPr>
  </w:style>
  <w:style w:type="character" w:customStyle="1" w:styleId="Nadpis9Char">
    <w:name w:val="Nadpis 9 Char"/>
    <w:basedOn w:val="Standardnpsmoodstavce"/>
    <w:link w:val="Nadpis9"/>
    <w:uiPriority w:val="9"/>
    <w:rsid w:val="00F34C89"/>
    <w:rPr>
      <w:rFonts w:asciiTheme="majorHAnsi" w:eastAsiaTheme="majorEastAsia" w:hAnsiTheme="majorHAnsi" w:cstheme="majorBidi"/>
    </w:rPr>
  </w:style>
  <w:style w:type="paragraph" w:styleId="Nzev">
    <w:name w:val="Title"/>
    <w:basedOn w:val="Normln"/>
    <w:next w:val="Normln"/>
    <w:link w:val="NzevChar"/>
    <w:uiPriority w:val="10"/>
    <w:qFormat/>
    <w:rsid w:val="00F34C89"/>
    <w:pPr>
      <w:spacing w:before="24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F34C89"/>
    <w:rPr>
      <w:rFonts w:asciiTheme="majorHAnsi" w:eastAsiaTheme="majorEastAsia" w:hAnsiTheme="majorHAnsi" w:cstheme="majorBidi"/>
      <w:b/>
      <w:bCs/>
      <w:kern w:val="28"/>
      <w:sz w:val="32"/>
      <w:szCs w:val="32"/>
    </w:rPr>
  </w:style>
  <w:style w:type="paragraph" w:styleId="Podtitul">
    <w:name w:val="Subtitle"/>
    <w:basedOn w:val="Normln"/>
    <w:next w:val="Normln"/>
    <w:link w:val="PodtitulChar"/>
    <w:uiPriority w:val="11"/>
    <w:qFormat/>
    <w:rsid w:val="00F34C89"/>
    <w:pPr>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F34C89"/>
    <w:rPr>
      <w:rFonts w:asciiTheme="majorHAnsi" w:eastAsiaTheme="majorEastAsia" w:hAnsiTheme="majorHAnsi" w:cstheme="majorBidi"/>
      <w:sz w:val="24"/>
      <w:szCs w:val="24"/>
    </w:rPr>
  </w:style>
  <w:style w:type="paragraph" w:styleId="Bezmezer">
    <w:name w:val="No Spacing"/>
    <w:basedOn w:val="Normln"/>
    <w:link w:val="BezmezerChar"/>
    <w:uiPriority w:val="1"/>
    <w:qFormat/>
    <w:rsid w:val="00F34C89"/>
    <w:rPr>
      <w:szCs w:val="32"/>
    </w:rPr>
  </w:style>
  <w:style w:type="paragraph" w:styleId="Odstavecseseznamem">
    <w:name w:val="List Paragraph"/>
    <w:basedOn w:val="Normln"/>
    <w:uiPriority w:val="34"/>
    <w:qFormat/>
    <w:rsid w:val="00F34C89"/>
    <w:pPr>
      <w:ind w:left="720"/>
      <w:contextualSpacing/>
    </w:pPr>
  </w:style>
  <w:style w:type="paragraph" w:styleId="Nadpisobsahu">
    <w:name w:val="TOC Heading"/>
    <w:basedOn w:val="Nadpis1"/>
    <w:next w:val="Normln"/>
    <w:uiPriority w:val="39"/>
    <w:unhideWhenUsed/>
    <w:qFormat/>
    <w:rsid w:val="000F7D54"/>
    <w:pPr>
      <w:numPr>
        <w:numId w:val="0"/>
      </w:numPr>
      <w:outlineLvl w:val="9"/>
    </w:pPr>
  </w:style>
  <w:style w:type="character" w:styleId="Siln">
    <w:name w:val="Strong"/>
    <w:basedOn w:val="Standardnpsmoodstavce"/>
    <w:uiPriority w:val="22"/>
    <w:qFormat/>
    <w:rsid w:val="00F34C89"/>
    <w:rPr>
      <w:b/>
      <w:bCs/>
    </w:rPr>
  </w:style>
  <w:style w:type="character" w:styleId="Zvraznn">
    <w:name w:val="Emphasis"/>
    <w:basedOn w:val="Standardnpsmoodstavce"/>
    <w:uiPriority w:val="20"/>
    <w:qFormat/>
    <w:rsid w:val="00F34C89"/>
    <w:rPr>
      <w:rFonts w:asciiTheme="minorHAnsi" w:hAnsiTheme="minorHAnsi"/>
      <w:b/>
      <w:i/>
      <w:iCs/>
    </w:rPr>
  </w:style>
  <w:style w:type="character" w:customStyle="1" w:styleId="BezmezerChar">
    <w:name w:val="Bez mezer Char"/>
    <w:basedOn w:val="Standardnpsmoodstavce"/>
    <w:link w:val="Bezmezer"/>
    <w:uiPriority w:val="1"/>
    <w:rsid w:val="00164BD1"/>
    <w:rPr>
      <w:sz w:val="24"/>
      <w:szCs w:val="32"/>
    </w:rPr>
  </w:style>
  <w:style w:type="paragraph" w:styleId="Citt">
    <w:name w:val="Quote"/>
    <w:basedOn w:val="Normln"/>
    <w:next w:val="Normln"/>
    <w:link w:val="CittChar"/>
    <w:uiPriority w:val="29"/>
    <w:qFormat/>
    <w:rsid w:val="00F34C89"/>
    <w:rPr>
      <w:i/>
    </w:rPr>
  </w:style>
  <w:style w:type="character" w:customStyle="1" w:styleId="CittChar">
    <w:name w:val="Citát Char"/>
    <w:basedOn w:val="Standardnpsmoodstavce"/>
    <w:link w:val="Citt"/>
    <w:uiPriority w:val="29"/>
    <w:rsid w:val="00F34C89"/>
    <w:rPr>
      <w:i/>
      <w:sz w:val="24"/>
      <w:szCs w:val="24"/>
    </w:rPr>
  </w:style>
  <w:style w:type="paragraph" w:styleId="Vrazncitt">
    <w:name w:val="Intense Quote"/>
    <w:basedOn w:val="Normln"/>
    <w:next w:val="Normln"/>
    <w:link w:val="VrazncittChar"/>
    <w:uiPriority w:val="30"/>
    <w:qFormat/>
    <w:rsid w:val="00F34C89"/>
    <w:pPr>
      <w:ind w:left="720" w:right="720"/>
    </w:pPr>
    <w:rPr>
      <w:b/>
      <w:i/>
      <w:szCs w:val="22"/>
    </w:rPr>
  </w:style>
  <w:style w:type="character" w:customStyle="1" w:styleId="VrazncittChar">
    <w:name w:val="Výrazný citát Char"/>
    <w:basedOn w:val="Standardnpsmoodstavce"/>
    <w:link w:val="Vrazncitt"/>
    <w:uiPriority w:val="30"/>
    <w:rsid w:val="00F34C89"/>
    <w:rPr>
      <w:b/>
      <w:i/>
      <w:sz w:val="24"/>
    </w:rPr>
  </w:style>
  <w:style w:type="character" w:styleId="Zdraznnjemn">
    <w:name w:val="Subtle Emphasis"/>
    <w:uiPriority w:val="19"/>
    <w:qFormat/>
    <w:rsid w:val="00F34C89"/>
    <w:rPr>
      <w:i/>
      <w:color w:val="5A5A5A" w:themeColor="text1" w:themeTint="A5"/>
    </w:rPr>
  </w:style>
  <w:style w:type="character" w:styleId="Zdraznnintenzivn">
    <w:name w:val="Intense Emphasis"/>
    <w:basedOn w:val="Standardnpsmoodstavce"/>
    <w:uiPriority w:val="21"/>
    <w:qFormat/>
    <w:rsid w:val="00F34C89"/>
    <w:rPr>
      <w:b/>
      <w:i/>
      <w:sz w:val="24"/>
      <w:szCs w:val="24"/>
      <w:u w:val="single"/>
    </w:rPr>
  </w:style>
  <w:style w:type="character" w:styleId="Odkazjemn">
    <w:name w:val="Subtle Reference"/>
    <w:basedOn w:val="Standardnpsmoodstavce"/>
    <w:uiPriority w:val="31"/>
    <w:qFormat/>
    <w:rsid w:val="00F34C89"/>
    <w:rPr>
      <w:sz w:val="24"/>
      <w:szCs w:val="24"/>
      <w:u w:val="single"/>
    </w:rPr>
  </w:style>
  <w:style w:type="character" w:styleId="Odkazintenzivn">
    <w:name w:val="Intense Reference"/>
    <w:basedOn w:val="Standardnpsmoodstavce"/>
    <w:uiPriority w:val="32"/>
    <w:qFormat/>
    <w:rsid w:val="00F34C89"/>
    <w:rPr>
      <w:b/>
      <w:sz w:val="24"/>
      <w:u w:val="single"/>
    </w:rPr>
  </w:style>
  <w:style w:type="character" w:styleId="Nzevknihy">
    <w:name w:val="Book Title"/>
    <w:basedOn w:val="Standardnpsmoodstavce"/>
    <w:uiPriority w:val="33"/>
    <w:qFormat/>
    <w:rsid w:val="00F34C89"/>
    <w:rPr>
      <w:rFonts w:asciiTheme="majorHAnsi" w:eastAsiaTheme="majorEastAsia" w:hAnsiTheme="majorHAnsi"/>
      <w:b/>
      <w:i/>
      <w:sz w:val="24"/>
      <w:szCs w:val="24"/>
    </w:rPr>
  </w:style>
  <w:style w:type="paragraph" w:styleId="Textbubliny">
    <w:name w:val="Balloon Text"/>
    <w:basedOn w:val="Normln"/>
    <w:link w:val="TextbublinyChar"/>
    <w:uiPriority w:val="99"/>
    <w:semiHidden/>
    <w:unhideWhenUsed/>
    <w:rsid w:val="00914D8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4D82"/>
    <w:rPr>
      <w:rFonts w:ascii="Segoe UI" w:hAnsi="Segoe UI" w:cs="Segoe UI"/>
      <w:sz w:val="18"/>
      <w:szCs w:val="18"/>
    </w:rPr>
  </w:style>
  <w:style w:type="table" w:styleId="Mkatabulky">
    <w:name w:val="Table Grid"/>
    <w:basedOn w:val="Normlntabulka"/>
    <w:uiPriority w:val="59"/>
    <w:rsid w:val="00BE4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link w:val="TitulekChar"/>
    <w:uiPriority w:val="35"/>
    <w:unhideWhenUsed/>
    <w:rsid w:val="007749B9"/>
    <w:pPr>
      <w:spacing w:after="200"/>
    </w:pPr>
    <w:rPr>
      <w:b/>
      <w:bCs/>
      <w:color w:val="629DD1" w:themeColor="accent1"/>
      <w:sz w:val="18"/>
      <w:szCs w:val="18"/>
    </w:rPr>
  </w:style>
  <w:style w:type="paragraph" w:styleId="Obsah1">
    <w:name w:val="toc 1"/>
    <w:basedOn w:val="Normln"/>
    <w:next w:val="Normln"/>
    <w:autoRedefine/>
    <w:uiPriority w:val="39"/>
    <w:unhideWhenUsed/>
    <w:rsid w:val="00B6129A"/>
    <w:pPr>
      <w:spacing w:after="100"/>
    </w:pPr>
  </w:style>
  <w:style w:type="paragraph" w:styleId="Obsah2">
    <w:name w:val="toc 2"/>
    <w:basedOn w:val="Normln"/>
    <w:next w:val="Normln"/>
    <w:autoRedefine/>
    <w:uiPriority w:val="39"/>
    <w:unhideWhenUsed/>
    <w:rsid w:val="00B6129A"/>
    <w:pPr>
      <w:spacing w:after="100"/>
      <w:ind w:left="240"/>
    </w:pPr>
  </w:style>
  <w:style w:type="character" w:styleId="Hypertextovodkaz">
    <w:name w:val="Hyperlink"/>
    <w:basedOn w:val="Standardnpsmoodstavce"/>
    <w:uiPriority w:val="99"/>
    <w:unhideWhenUsed/>
    <w:rsid w:val="00B6129A"/>
    <w:rPr>
      <w:color w:val="9454C3" w:themeColor="hyperlink"/>
      <w:u w:val="single"/>
    </w:rPr>
  </w:style>
  <w:style w:type="paragraph" w:styleId="Zhlav">
    <w:name w:val="header"/>
    <w:basedOn w:val="Normln"/>
    <w:link w:val="ZhlavChar"/>
    <w:uiPriority w:val="99"/>
    <w:unhideWhenUsed/>
    <w:rsid w:val="00B6129A"/>
    <w:pPr>
      <w:tabs>
        <w:tab w:val="center" w:pos="4536"/>
        <w:tab w:val="right" w:pos="9072"/>
      </w:tabs>
      <w:spacing w:before="0" w:after="0"/>
    </w:pPr>
  </w:style>
  <w:style w:type="character" w:customStyle="1" w:styleId="ZhlavChar">
    <w:name w:val="Záhlaví Char"/>
    <w:basedOn w:val="Standardnpsmoodstavce"/>
    <w:link w:val="Zhlav"/>
    <w:uiPriority w:val="99"/>
    <w:rsid w:val="00B6129A"/>
    <w:rPr>
      <w:sz w:val="24"/>
      <w:szCs w:val="24"/>
    </w:rPr>
  </w:style>
  <w:style w:type="paragraph" w:styleId="Zpat">
    <w:name w:val="footer"/>
    <w:basedOn w:val="Normln"/>
    <w:link w:val="ZpatChar"/>
    <w:uiPriority w:val="99"/>
    <w:unhideWhenUsed/>
    <w:rsid w:val="00B6129A"/>
    <w:pPr>
      <w:tabs>
        <w:tab w:val="center" w:pos="4536"/>
        <w:tab w:val="right" w:pos="9072"/>
      </w:tabs>
      <w:spacing w:before="0" w:after="0"/>
    </w:pPr>
  </w:style>
  <w:style w:type="character" w:customStyle="1" w:styleId="ZpatChar">
    <w:name w:val="Zápatí Char"/>
    <w:basedOn w:val="Standardnpsmoodstavce"/>
    <w:link w:val="Zpat"/>
    <w:uiPriority w:val="99"/>
    <w:rsid w:val="00B6129A"/>
    <w:rPr>
      <w:sz w:val="24"/>
      <w:szCs w:val="24"/>
    </w:rPr>
  </w:style>
  <w:style w:type="paragraph" w:styleId="Seznamobrzk">
    <w:name w:val="table of figures"/>
    <w:basedOn w:val="Normln"/>
    <w:next w:val="Normln"/>
    <w:uiPriority w:val="99"/>
    <w:unhideWhenUsed/>
    <w:rsid w:val="00C7303A"/>
    <w:pPr>
      <w:spacing w:after="0"/>
    </w:pPr>
  </w:style>
  <w:style w:type="paragraph" w:customStyle="1" w:styleId="Tabulka">
    <w:name w:val="Tabulka"/>
    <w:basedOn w:val="Titulek"/>
    <w:link w:val="TabulkaChar"/>
    <w:qFormat/>
    <w:rsid w:val="009638B8"/>
    <w:pPr>
      <w:jc w:val="center"/>
    </w:pPr>
    <w:rPr>
      <w:color w:val="auto"/>
    </w:rPr>
  </w:style>
  <w:style w:type="character" w:customStyle="1" w:styleId="TitulekChar">
    <w:name w:val="Titulek Char"/>
    <w:basedOn w:val="Standardnpsmoodstavce"/>
    <w:link w:val="Titulek"/>
    <w:uiPriority w:val="35"/>
    <w:rsid w:val="009638B8"/>
    <w:rPr>
      <w:b/>
      <w:bCs/>
      <w:color w:val="629DD1" w:themeColor="accent1"/>
      <w:sz w:val="18"/>
      <w:szCs w:val="18"/>
    </w:rPr>
  </w:style>
  <w:style w:type="character" w:customStyle="1" w:styleId="TabulkaChar">
    <w:name w:val="Tabulka Char"/>
    <w:basedOn w:val="TitulekChar"/>
    <w:link w:val="Tabulka"/>
    <w:rsid w:val="009638B8"/>
    <w:rPr>
      <w:b/>
      <w:bCs/>
      <w:color w:val="629DD1" w:themeColor="accent1"/>
      <w:sz w:val="18"/>
      <w:szCs w:val="18"/>
    </w:rPr>
  </w:style>
  <w:style w:type="character" w:styleId="slostrnky">
    <w:name w:val="page number"/>
    <w:basedOn w:val="Standardnpsmoodstavce"/>
    <w:rsid w:val="00D96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80455">
      <w:bodyDiv w:val="1"/>
      <w:marLeft w:val="0"/>
      <w:marRight w:val="0"/>
      <w:marTop w:val="0"/>
      <w:marBottom w:val="0"/>
      <w:divBdr>
        <w:top w:val="none" w:sz="0" w:space="0" w:color="auto"/>
        <w:left w:val="none" w:sz="0" w:space="0" w:color="auto"/>
        <w:bottom w:val="none" w:sz="0" w:space="0" w:color="auto"/>
        <w:right w:val="none" w:sz="0" w:space="0" w:color="auto"/>
      </w:divBdr>
    </w:div>
    <w:div w:id="1298100454">
      <w:bodyDiv w:val="1"/>
      <w:marLeft w:val="0"/>
      <w:marRight w:val="0"/>
      <w:marTop w:val="0"/>
      <w:marBottom w:val="0"/>
      <w:divBdr>
        <w:top w:val="none" w:sz="0" w:space="0" w:color="auto"/>
        <w:left w:val="none" w:sz="0" w:space="0" w:color="auto"/>
        <w:bottom w:val="none" w:sz="0" w:space="0" w:color="auto"/>
        <w:right w:val="none" w:sz="0" w:space="0" w:color="auto"/>
      </w:divBdr>
    </w:div>
    <w:div w:id="1471287116">
      <w:bodyDiv w:val="1"/>
      <w:marLeft w:val="0"/>
      <w:marRight w:val="0"/>
      <w:marTop w:val="0"/>
      <w:marBottom w:val="0"/>
      <w:divBdr>
        <w:top w:val="none" w:sz="0" w:space="0" w:color="auto"/>
        <w:left w:val="none" w:sz="0" w:space="0" w:color="auto"/>
        <w:bottom w:val="none" w:sz="0" w:space="0" w:color="auto"/>
        <w:right w:val="none" w:sz="0" w:space="0" w:color="auto"/>
      </w:divBdr>
    </w:div>
    <w:div w:id="17991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3.png"/><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RVNAS\SD&#205;LEN&#205;\3330_002_Aktualizace_PRVKOK_Ol_kraj\_zpracovani\_demografie\Demografie_Vypocty.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Olomouckého kraje mezi lety 1991 - 2015</a:t>
            </a:r>
            <a:endParaRPr lang="cs-CZ" sz="1200">
              <a:latin typeface="Arial Narrow" panose="020B0606020202030204" pitchFamily="34" charset="0"/>
            </a:endParaRPr>
          </a:p>
        </c:rich>
      </c:tx>
      <c:overlay val="0"/>
    </c:title>
    <c:autoTitleDeleted val="0"/>
    <c:plotArea>
      <c:layout/>
      <c:scatterChart>
        <c:scatterStyle val="smoothMarker"/>
        <c:varyColors val="0"/>
        <c:ser>
          <c:idx val="0"/>
          <c:order val="0"/>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vypocty!$H$1199:$AF$1199</c:f>
              <c:numCache>
                <c:formatCode>0</c:formatCode>
                <c:ptCount val="25"/>
                <c:pt idx="0">
                  <c:v>643365</c:v>
                </c:pt>
                <c:pt idx="1">
                  <c:v>645208</c:v>
                </c:pt>
                <c:pt idx="2">
                  <c:v>645911</c:v>
                </c:pt>
                <c:pt idx="3">
                  <c:v>646514</c:v>
                </c:pt>
                <c:pt idx="4">
                  <c:v>645804</c:v>
                </c:pt>
                <c:pt idx="5">
                  <c:v>644987</c:v>
                </c:pt>
                <c:pt idx="6">
                  <c:v>643946</c:v>
                </c:pt>
                <c:pt idx="7">
                  <c:v>642961</c:v>
                </c:pt>
                <c:pt idx="8">
                  <c:v>642016</c:v>
                </c:pt>
                <c:pt idx="9">
                  <c:v>641072</c:v>
                </c:pt>
                <c:pt idx="10">
                  <c:v>638374</c:v>
                </c:pt>
                <c:pt idx="11">
                  <c:v>636750</c:v>
                </c:pt>
                <c:pt idx="12">
                  <c:v>636313</c:v>
                </c:pt>
                <c:pt idx="13">
                  <c:v>635126</c:v>
                </c:pt>
                <c:pt idx="14">
                  <c:v>639161</c:v>
                </c:pt>
                <c:pt idx="15">
                  <c:v>639894</c:v>
                </c:pt>
                <c:pt idx="16">
                  <c:v>641791</c:v>
                </c:pt>
                <c:pt idx="17">
                  <c:v>642137</c:v>
                </c:pt>
                <c:pt idx="18">
                  <c:v>642050</c:v>
                </c:pt>
                <c:pt idx="19">
                  <c:v>641681</c:v>
                </c:pt>
                <c:pt idx="20">
                  <c:v>638638</c:v>
                </c:pt>
                <c:pt idx="21">
                  <c:v>637609</c:v>
                </c:pt>
                <c:pt idx="22">
                  <c:v>636356</c:v>
                </c:pt>
                <c:pt idx="23">
                  <c:v>635711</c:v>
                </c:pt>
                <c:pt idx="24">
                  <c:v>634718</c:v>
                </c:pt>
              </c:numCache>
            </c:numRef>
          </c:yVal>
          <c:smooth val="1"/>
        </c:ser>
        <c:dLbls>
          <c:showLegendKey val="0"/>
          <c:showVal val="0"/>
          <c:showCatName val="0"/>
          <c:showSerName val="0"/>
          <c:showPercent val="0"/>
          <c:showBubbleSize val="0"/>
        </c:dLbls>
        <c:axId val="82058240"/>
        <c:axId val="117858304"/>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82058240"/>
        <c:scaling>
          <c:orientation val="minMax"/>
          <c:max val="2015"/>
          <c:min val="1991"/>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92421095043434065"/>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7858304"/>
        <c:crosses val="autoZero"/>
        <c:crossBetween val="midCat"/>
        <c:majorUnit val="3"/>
        <c:minorUnit val="2"/>
      </c:valAx>
      <c:valAx>
        <c:axId val="117858304"/>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82058240"/>
        <c:crosses val="autoZero"/>
        <c:crossBetween val="midCat"/>
        <c:dispUnits>
          <c:builtInUnit val="thousands"/>
        </c:dispUnits>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Olomouc</a:t>
            </a:r>
          </a:p>
        </c:rich>
      </c:tx>
      <c:layout/>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vypocty!$H$1184:$AF$1184</c:f>
              <c:numCache>
                <c:formatCode>0</c:formatCode>
                <c:ptCount val="25"/>
                <c:pt idx="0">
                  <c:v>157610</c:v>
                </c:pt>
                <c:pt idx="1">
                  <c:v>158895</c:v>
                </c:pt>
                <c:pt idx="2">
                  <c:v>159509</c:v>
                </c:pt>
                <c:pt idx="3">
                  <c:v>159883</c:v>
                </c:pt>
                <c:pt idx="4">
                  <c:v>159897</c:v>
                </c:pt>
                <c:pt idx="5">
                  <c:v>159650</c:v>
                </c:pt>
                <c:pt idx="6">
                  <c:v>159401</c:v>
                </c:pt>
                <c:pt idx="7">
                  <c:v>159246</c:v>
                </c:pt>
                <c:pt idx="8">
                  <c:v>159094</c:v>
                </c:pt>
                <c:pt idx="9">
                  <c:v>158928</c:v>
                </c:pt>
                <c:pt idx="10">
                  <c:v>158633</c:v>
                </c:pt>
                <c:pt idx="11">
                  <c:v>158352</c:v>
                </c:pt>
                <c:pt idx="12">
                  <c:v>158479</c:v>
                </c:pt>
                <c:pt idx="13">
                  <c:v>158433</c:v>
                </c:pt>
                <c:pt idx="14">
                  <c:v>158636</c:v>
                </c:pt>
                <c:pt idx="15">
                  <c:v>159005</c:v>
                </c:pt>
                <c:pt idx="16">
                  <c:v>160044</c:v>
                </c:pt>
                <c:pt idx="17">
                  <c:v>160720</c:v>
                </c:pt>
                <c:pt idx="18">
                  <c:v>161262</c:v>
                </c:pt>
                <c:pt idx="19">
                  <c:v>161802</c:v>
                </c:pt>
                <c:pt idx="20">
                  <c:v>161754</c:v>
                </c:pt>
                <c:pt idx="21">
                  <c:v>162136</c:v>
                </c:pt>
                <c:pt idx="22">
                  <c:v>162502</c:v>
                </c:pt>
                <c:pt idx="23">
                  <c:v>163215</c:v>
                </c:pt>
                <c:pt idx="24">
                  <c:v>163813</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(vypocty!$AF$1184,vypocty!$BN$1184:$BQ$1184)</c:f>
              <c:numCache>
                <c:formatCode>0</c:formatCode>
                <c:ptCount val="5"/>
                <c:pt idx="0">
                  <c:v>163813</c:v>
                </c:pt>
                <c:pt idx="1">
                  <c:v>163482</c:v>
                </c:pt>
                <c:pt idx="2">
                  <c:v>164208</c:v>
                </c:pt>
                <c:pt idx="3">
                  <c:v>164531</c:v>
                </c:pt>
                <c:pt idx="4">
                  <c:v>165380</c:v>
                </c:pt>
              </c:numCache>
            </c:numRef>
          </c:yVal>
          <c:smooth val="1"/>
        </c:ser>
        <c:dLbls>
          <c:showLegendKey val="0"/>
          <c:showVal val="0"/>
          <c:showCatName val="0"/>
          <c:showSerName val="0"/>
          <c:showPercent val="0"/>
          <c:showBubbleSize val="0"/>
        </c:dLbls>
        <c:axId val="116603904"/>
        <c:axId val="116610176"/>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116603904"/>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6610176"/>
        <c:crosses val="autoZero"/>
        <c:crossBetween val="midCat"/>
        <c:majorUnit val="5"/>
        <c:minorUnit val="2"/>
      </c:valAx>
      <c:valAx>
        <c:axId val="116610176"/>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layout/>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116603904"/>
        <c:crosses val="autoZero"/>
        <c:crossBetween val="midCat"/>
        <c:dispUnits>
          <c:builtInUnit val="thousands"/>
        </c:dispUnits>
      </c:valAx>
    </c:plotArea>
    <c:legend>
      <c:legendPos val="b"/>
      <c:layout/>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Prostějov</a:t>
            </a:r>
          </a:p>
        </c:rich>
      </c:tx>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vypocty!$H$1188:$AF$1188</c:f>
              <c:numCache>
                <c:formatCode>0</c:formatCode>
                <c:ptCount val="25"/>
                <c:pt idx="0">
                  <c:v>99878</c:v>
                </c:pt>
                <c:pt idx="1">
                  <c:v>99683</c:v>
                </c:pt>
                <c:pt idx="2">
                  <c:v>99574</c:v>
                </c:pt>
                <c:pt idx="3">
                  <c:v>99416</c:v>
                </c:pt>
                <c:pt idx="4">
                  <c:v>99093</c:v>
                </c:pt>
                <c:pt idx="5">
                  <c:v>98856</c:v>
                </c:pt>
                <c:pt idx="6">
                  <c:v>98713</c:v>
                </c:pt>
                <c:pt idx="7">
                  <c:v>98484</c:v>
                </c:pt>
                <c:pt idx="8">
                  <c:v>98391</c:v>
                </c:pt>
                <c:pt idx="9">
                  <c:v>98293</c:v>
                </c:pt>
                <c:pt idx="10">
                  <c:v>98126</c:v>
                </c:pt>
                <c:pt idx="11">
                  <c:v>97942</c:v>
                </c:pt>
                <c:pt idx="12">
                  <c:v>97906</c:v>
                </c:pt>
                <c:pt idx="13">
                  <c:v>97854</c:v>
                </c:pt>
                <c:pt idx="14">
                  <c:v>97946</c:v>
                </c:pt>
                <c:pt idx="15">
                  <c:v>98248</c:v>
                </c:pt>
                <c:pt idx="16">
                  <c:v>98631</c:v>
                </c:pt>
                <c:pt idx="17">
                  <c:v>98862</c:v>
                </c:pt>
                <c:pt idx="18">
                  <c:v>99019</c:v>
                </c:pt>
                <c:pt idx="19">
                  <c:v>99033</c:v>
                </c:pt>
                <c:pt idx="20">
                  <c:v>98440</c:v>
                </c:pt>
                <c:pt idx="21">
                  <c:v>98297</c:v>
                </c:pt>
                <c:pt idx="22">
                  <c:v>98239</c:v>
                </c:pt>
                <c:pt idx="23">
                  <c:v>98128</c:v>
                </c:pt>
                <c:pt idx="24">
                  <c:v>97969</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(vypocty!$AF$1188,vypocty!$BN$1188:$BQ$1188)</c:f>
              <c:numCache>
                <c:formatCode>0</c:formatCode>
                <c:ptCount val="5"/>
                <c:pt idx="0">
                  <c:v>97969</c:v>
                </c:pt>
                <c:pt idx="1">
                  <c:v>96185</c:v>
                </c:pt>
                <c:pt idx="2">
                  <c:v>94641</c:v>
                </c:pt>
                <c:pt idx="3">
                  <c:v>93498</c:v>
                </c:pt>
                <c:pt idx="4">
                  <c:v>94900</c:v>
                </c:pt>
              </c:numCache>
            </c:numRef>
          </c:yVal>
          <c:smooth val="1"/>
        </c:ser>
        <c:dLbls>
          <c:showLegendKey val="0"/>
          <c:showVal val="0"/>
          <c:showCatName val="0"/>
          <c:showSerName val="0"/>
          <c:showPercent val="0"/>
          <c:showBubbleSize val="0"/>
        </c:dLbls>
        <c:axId val="116640768"/>
        <c:axId val="117703808"/>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116640768"/>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7703808"/>
        <c:crosses val="autoZero"/>
        <c:crossBetween val="midCat"/>
        <c:majorUnit val="5"/>
        <c:minorUnit val="2"/>
      </c:valAx>
      <c:valAx>
        <c:axId val="117703808"/>
        <c:scaling>
          <c:orientation val="minMax"/>
          <c:max val="110000"/>
          <c:min val="85000"/>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116640768"/>
        <c:crosses val="autoZero"/>
        <c:crossBetween val="midCat"/>
        <c:dispUnits>
          <c:builtInUnit val="thousands"/>
        </c:dispUnits>
      </c:valAx>
    </c:plotArea>
    <c:legend>
      <c:legendPos val="b"/>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Konice</a:t>
            </a:r>
          </a:p>
        </c:rich>
      </c:tx>
      <c:layout/>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vypocty!$H$1189:$AF$1189</c:f>
              <c:numCache>
                <c:formatCode>0</c:formatCode>
                <c:ptCount val="25"/>
                <c:pt idx="0">
                  <c:v>12022</c:v>
                </c:pt>
                <c:pt idx="1">
                  <c:v>11986</c:v>
                </c:pt>
                <c:pt idx="2">
                  <c:v>11916</c:v>
                </c:pt>
                <c:pt idx="3">
                  <c:v>11860</c:v>
                </c:pt>
                <c:pt idx="4">
                  <c:v>11841</c:v>
                </c:pt>
                <c:pt idx="5">
                  <c:v>11787</c:v>
                </c:pt>
                <c:pt idx="6">
                  <c:v>11733</c:v>
                </c:pt>
                <c:pt idx="7">
                  <c:v>11707</c:v>
                </c:pt>
                <c:pt idx="8">
                  <c:v>11725</c:v>
                </c:pt>
                <c:pt idx="9">
                  <c:v>11676</c:v>
                </c:pt>
                <c:pt idx="10">
                  <c:v>11647</c:v>
                </c:pt>
                <c:pt idx="11">
                  <c:v>11582</c:v>
                </c:pt>
                <c:pt idx="12">
                  <c:v>11533</c:v>
                </c:pt>
                <c:pt idx="13">
                  <c:v>11513</c:v>
                </c:pt>
                <c:pt idx="14">
                  <c:v>11483</c:v>
                </c:pt>
                <c:pt idx="15">
                  <c:v>11385</c:v>
                </c:pt>
                <c:pt idx="16">
                  <c:v>11348</c:v>
                </c:pt>
                <c:pt idx="17">
                  <c:v>11297</c:v>
                </c:pt>
                <c:pt idx="18">
                  <c:v>11195</c:v>
                </c:pt>
                <c:pt idx="19">
                  <c:v>11149</c:v>
                </c:pt>
                <c:pt idx="20">
                  <c:v>11099</c:v>
                </c:pt>
                <c:pt idx="21">
                  <c:v>11049</c:v>
                </c:pt>
                <c:pt idx="22">
                  <c:v>10984</c:v>
                </c:pt>
                <c:pt idx="23">
                  <c:v>10909</c:v>
                </c:pt>
                <c:pt idx="24">
                  <c:v>10824</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(vypocty!$AF$1189,vypocty!$BN$1189:$BQ$1189)</c:f>
              <c:numCache>
                <c:formatCode>0</c:formatCode>
                <c:ptCount val="5"/>
                <c:pt idx="0">
                  <c:v>10824</c:v>
                </c:pt>
                <c:pt idx="1">
                  <c:v>10406</c:v>
                </c:pt>
                <c:pt idx="2">
                  <c:v>10307</c:v>
                </c:pt>
                <c:pt idx="3">
                  <c:v>10199</c:v>
                </c:pt>
                <c:pt idx="4">
                  <c:v>9814</c:v>
                </c:pt>
              </c:numCache>
            </c:numRef>
          </c:yVal>
          <c:smooth val="1"/>
        </c:ser>
        <c:dLbls>
          <c:showLegendKey val="0"/>
          <c:showVal val="0"/>
          <c:showCatName val="0"/>
          <c:showSerName val="0"/>
          <c:showPercent val="0"/>
          <c:showBubbleSize val="0"/>
        </c:dLbls>
        <c:axId val="118229632"/>
        <c:axId val="118301440"/>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118229632"/>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8301440"/>
        <c:crosses val="autoZero"/>
        <c:crossBetween val="midCat"/>
        <c:majorUnit val="5"/>
        <c:minorUnit val="2"/>
      </c:valAx>
      <c:valAx>
        <c:axId val="118301440"/>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layout/>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118229632"/>
        <c:crosses val="autoZero"/>
        <c:crossBetween val="midCat"/>
        <c:dispUnits>
          <c:builtInUnit val="thousands"/>
        </c:dispUnits>
      </c:valAx>
    </c:plotArea>
    <c:legend>
      <c:legendPos val="b"/>
      <c:layout/>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Přerov</a:t>
            </a:r>
          </a:p>
        </c:rich>
      </c:tx>
      <c:layout/>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vypocty!$H$1193:$AF$1193</c:f>
              <c:numCache>
                <c:formatCode>0</c:formatCode>
                <c:ptCount val="25"/>
                <c:pt idx="0">
                  <c:v>87874</c:v>
                </c:pt>
                <c:pt idx="1">
                  <c:v>87708</c:v>
                </c:pt>
                <c:pt idx="2">
                  <c:v>87573</c:v>
                </c:pt>
                <c:pt idx="3">
                  <c:v>87544</c:v>
                </c:pt>
                <c:pt idx="4">
                  <c:v>87154</c:v>
                </c:pt>
                <c:pt idx="5">
                  <c:v>87022</c:v>
                </c:pt>
                <c:pt idx="6">
                  <c:v>86682</c:v>
                </c:pt>
                <c:pt idx="7">
                  <c:v>86300</c:v>
                </c:pt>
                <c:pt idx="8">
                  <c:v>85936</c:v>
                </c:pt>
                <c:pt idx="9">
                  <c:v>85696</c:v>
                </c:pt>
                <c:pt idx="10">
                  <c:v>85079</c:v>
                </c:pt>
                <c:pt idx="11">
                  <c:v>84691</c:v>
                </c:pt>
                <c:pt idx="12">
                  <c:v>84452</c:v>
                </c:pt>
                <c:pt idx="13">
                  <c:v>84074</c:v>
                </c:pt>
                <c:pt idx="14">
                  <c:v>84188</c:v>
                </c:pt>
                <c:pt idx="15">
                  <c:v>84486</c:v>
                </c:pt>
                <c:pt idx="16">
                  <c:v>84906</c:v>
                </c:pt>
                <c:pt idx="17">
                  <c:v>84442</c:v>
                </c:pt>
                <c:pt idx="18">
                  <c:v>84186</c:v>
                </c:pt>
                <c:pt idx="19">
                  <c:v>83820</c:v>
                </c:pt>
                <c:pt idx="20">
                  <c:v>83004</c:v>
                </c:pt>
                <c:pt idx="21">
                  <c:v>82661</c:v>
                </c:pt>
                <c:pt idx="22">
                  <c:v>82255</c:v>
                </c:pt>
                <c:pt idx="23">
                  <c:v>81933</c:v>
                </c:pt>
                <c:pt idx="24">
                  <c:v>81500</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(vypocty!$AF$1193,vypocty!$BN$1193:$BQ$1193)</c:f>
              <c:numCache>
                <c:formatCode>0</c:formatCode>
                <c:ptCount val="5"/>
                <c:pt idx="0">
                  <c:v>81500</c:v>
                </c:pt>
                <c:pt idx="1">
                  <c:v>80161</c:v>
                </c:pt>
                <c:pt idx="2">
                  <c:v>78936</c:v>
                </c:pt>
                <c:pt idx="3">
                  <c:v>77730</c:v>
                </c:pt>
                <c:pt idx="4">
                  <c:v>72982</c:v>
                </c:pt>
              </c:numCache>
            </c:numRef>
          </c:yVal>
          <c:smooth val="1"/>
        </c:ser>
        <c:dLbls>
          <c:showLegendKey val="0"/>
          <c:showVal val="0"/>
          <c:showCatName val="0"/>
          <c:showSerName val="0"/>
          <c:showPercent val="0"/>
          <c:showBubbleSize val="0"/>
        </c:dLbls>
        <c:axId val="119290112"/>
        <c:axId val="119292288"/>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119290112"/>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9292288"/>
        <c:crosses val="autoZero"/>
        <c:crossBetween val="midCat"/>
        <c:majorUnit val="5"/>
        <c:minorUnit val="2"/>
      </c:valAx>
      <c:valAx>
        <c:axId val="119292288"/>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layout/>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119290112"/>
        <c:crosses val="autoZero"/>
        <c:crossBetween val="midCat"/>
        <c:dispUnits>
          <c:builtInUnit val="thousands"/>
        </c:dispUnits>
      </c:valAx>
    </c:plotArea>
    <c:legend>
      <c:legendPos val="b"/>
      <c:layout/>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Lipník nad Bečvou</a:t>
            </a:r>
          </a:p>
        </c:rich>
      </c:tx>
      <c:layout/>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vypocty!$H$1192:$AF$1192</c:f>
              <c:numCache>
                <c:formatCode>0</c:formatCode>
                <c:ptCount val="25"/>
                <c:pt idx="0">
                  <c:v>15501</c:v>
                </c:pt>
                <c:pt idx="1">
                  <c:v>15558</c:v>
                </c:pt>
                <c:pt idx="2">
                  <c:v>15573</c:v>
                </c:pt>
                <c:pt idx="3">
                  <c:v>15723</c:v>
                </c:pt>
                <c:pt idx="4">
                  <c:v>15784</c:v>
                </c:pt>
                <c:pt idx="5">
                  <c:v>15753</c:v>
                </c:pt>
                <c:pt idx="6">
                  <c:v>15675</c:v>
                </c:pt>
                <c:pt idx="7">
                  <c:v>15668</c:v>
                </c:pt>
                <c:pt idx="8">
                  <c:v>15648</c:v>
                </c:pt>
                <c:pt idx="9">
                  <c:v>15543</c:v>
                </c:pt>
                <c:pt idx="10">
                  <c:v>15376</c:v>
                </c:pt>
                <c:pt idx="11">
                  <c:v>15334</c:v>
                </c:pt>
                <c:pt idx="12">
                  <c:v>15265</c:v>
                </c:pt>
                <c:pt idx="13">
                  <c:v>15303</c:v>
                </c:pt>
                <c:pt idx="14">
                  <c:v>15333</c:v>
                </c:pt>
                <c:pt idx="15">
                  <c:v>15394</c:v>
                </c:pt>
                <c:pt idx="16">
                  <c:v>15399</c:v>
                </c:pt>
                <c:pt idx="17">
                  <c:v>15457</c:v>
                </c:pt>
                <c:pt idx="18">
                  <c:v>15435</c:v>
                </c:pt>
                <c:pt idx="19">
                  <c:v>15413</c:v>
                </c:pt>
                <c:pt idx="20">
                  <c:v>15370</c:v>
                </c:pt>
                <c:pt idx="21">
                  <c:v>15379</c:v>
                </c:pt>
                <c:pt idx="22">
                  <c:v>15267</c:v>
                </c:pt>
                <c:pt idx="23">
                  <c:v>15289</c:v>
                </c:pt>
                <c:pt idx="24">
                  <c:v>15286</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(vypocty!$AF$1192,vypocty!$BN$1192:$BQ$1192)</c:f>
              <c:numCache>
                <c:formatCode>0</c:formatCode>
                <c:ptCount val="5"/>
                <c:pt idx="0">
                  <c:v>15286</c:v>
                </c:pt>
                <c:pt idx="1">
                  <c:v>15259</c:v>
                </c:pt>
                <c:pt idx="2">
                  <c:v>15211</c:v>
                </c:pt>
                <c:pt idx="3">
                  <c:v>15161</c:v>
                </c:pt>
                <c:pt idx="4">
                  <c:v>14984</c:v>
                </c:pt>
              </c:numCache>
            </c:numRef>
          </c:yVal>
          <c:smooth val="1"/>
        </c:ser>
        <c:dLbls>
          <c:showLegendKey val="0"/>
          <c:showVal val="0"/>
          <c:showCatName val="0"/>
          <c:showSerName val="0"/>
          <c:showPercent val="0"/>
          <c:showBubbleSize val="0"/>
        </c:dLbls>
        <c:axId val="119318400"/>
        <c:axId val="119320576"/>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119318400"/>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9320576"/>
        <c:crosses val="autoZero"/>
        <c:crossBetween val="midCat"/>
        <c:majorUnit val="5"/>
        <c:minorUnit val="2"/>
      </c:valAx>
      <c:valAx>
        <c:axId val="119320576"/>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layout/>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119318400"/>
        <c:crosses val="autoZero"/>
        <c:crossBetween val="midCat"/>
        <c:dispUnits>
          <c:builtInUnit val="thousands"/>
        </c:dispUnits>
      </c:valAx>
    </c:plotArea>
    <c:legend>
      <c:legendPos val="b"/>
      <c:layout/>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Hranice</a:t>
            </a:r>
          </a:p>
        </c:rich>
      </c:tx>
      <c:layout/>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vypocty!$H$1191:$AF$1191</c:f>
              <c:numCache>
                <c:formatCode>0</c:formatCode>
                <c:ptCount val="25"/>
                <c:pt idx="0">
                  <c:v>34933</c:v>
                </c:pt>
                <c:pt idx="1">
                  <c:v>35238</c:v>
                </c:pt>
                <c:pt idx="2">
                  <c:v>35326</c:v>
                </c:pt>
                <c:pt idx="3">
                  <c:v>35356</c:v>
                </c:pt>
                <c:pt idx="4">
                  <c:v>35278</c:v>
                </c:pt>
                <c:pt idx="5">
                  <c:v>35257</c:v>
                </c:pt>
                <c:pt idx="6">
                  <c:v>35156</c:v>
                </c:pt>
                <c:pt idx="7">
                  <c:v>35051</c:v>
                </c:pt>
                <c:pt idx="8">
                  <c:v>35083</c:v>
                </c:pt>
                <c:pt idx="9">
                  <c:v>35055</c:v>
                </c:pt>
                <c:pt idx="10">
                  <c:v>34920</c:v>
                </c:pt>
                <c:pt idx="11">
                  <c:v>34870</c:v>
                </c:pt>
                <c:pt idx="12">
                  <c:v>34882</c:v>
                </c:pt>
                <c:pt idx="13">
                  <c:v>34804</c:v>
                </c:pt>
                <c:pt idx="14">
                  <c:v>34744</c:v>
                </c:pt>
                <c:pt idx="15">
                  <c:v>34788</c:v>
                </c:pt>
                <c:pt idx="16">
                  <c:v>34860</c:v>
                </c:pt>
                <c:pt idx="17">
                  <c:v>34823</c:v>
                </c:pt>
                <c:pt idx="18">
                  <c:v>34703</c:v>
                </c:pt>
                <c:pt idx="19">
                  <c:v>34699</c:v>
                </c:pt>
                <c:pt idx="20">
                  <c:v>34649</c:v>
                </c:pt>
                <c:pt idx="21">
                  <c:v>34622</c:v>
                </c:pt>
                <c:pt idx="22">
                  <c:v>34492</c:v>
                </c:pt>
                <c:pt idx="23">
                  <c:v>34424</c:v>
                </c:pt>
                <c:pt idx="24">
                  <c:v>34338</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(vypocty!$AF$1191,vypocty!$BN$1191:$BQ$1191)</c:f>
              <c:numCache>
                <c:formatCode>0</c:formatCode>
                <c:ptCount val="5"/>
                <c:pt idx="0">
                  <c:v>34338</c:v>
                </c:pt>
                <c:pt idx="1">
                  <c:v>33987</c:v>
                </c:pt>
                <c:pt idx="2">
                  <c:v>34004</c:v>
                </c:pt>
                <c:pt idx="3">
                  <c:v>34031</c:v>
                </c:pt>
                <c:pt idx="4">
                  <c:v>33742</c:v>
                </c:pt>
              </c:numCache>
            </c:numRef>
          </c:yVal>
          <c:smooth val="1"/>
        </c:ser>
        <c:dLbls>
          <c:showLegendKey val="0"/>
          <c:showVal val="0"/>
          <c:showCatName val="0"/>
          <c:showSerName val="0"/>
          <c:showPercent val="0"/>
          <c:showBubbleSize val="0"/>
        </c:dLbls>
        <c:axId val="119748096"/>
        <c:axId val="119750016"/>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119748096"/>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9750016"/>
        <c:crosses val="autoZero"/>
        <c:crossBetween val="midCat"/>
        <c:majorUnit val="5"/>
        <c:minorUnit val="2"/>
      </c:valAx>
      <c:valAx>
        <c:axId val="119750016"/>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layout/>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119748096"/>
        <c:crosses val="autoZero"/>
        <c:crossBetween val="midCat"/>
        <c:dispUnits>
          <c:builtInUnit val="thousands"/>
        </c:dispUnits>
      </c:valAx>
    </c:plotArea>
    <c:legend>
      <c:legendPos val="b"/>
      <c:layout/>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Předpoklad vývoje počtu</a:t>
            </a:r>
            <a:r>
              <a:rPr lang="cs-CZ" sz="1200" baseline="0">
                <a:latin typeface="Arial Narrow" panose="020B0606020202030204" pitchFamily="34" charset="0"/>
              </a:rPr>
              <a:t> obyvatel Olomouckého kraje</a:t>
            </a:r>
            <a:endParaRPr lang="cs-CZ" sz="1200">
              <a:latin typeface="Arial Narrow" panose="020B0606020202030204" pitchFamily="34" charset="0"/>
            </a:endParaRPr>
          </a:p>
        </c:rich>
      </c:tx>
      <c:overlay val="0"/>
    </c:title>
    <c:autoTitleDeleted val="0"/>
    <c:plotArea>
      <c:layout/>
      <c:scatterChart>
        <c:scatterStyle val="smoothMarker"/>
        <c:varyColors val="0"/>
        <c:ser>
          <c:idx val="0"/>
          <c:order val="0"/>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(vypocty!$AF$1199,vypocty!$BN$1199:$BQ$1199)</c:f>
              <c:numCache>
                <c:formatCode>0</c:formatCode>
                <c:ptCount val="5"/>
                <c:pt idx="0">
                  <c:v>634718</c:v>
                </c:pt>
                <c:pt idx="1">
                  <c:v>629020</c:v>
                </c:pt>
                <c:pt idx="2">
                  <c:v>624915</c:v>
                </c:pt>
                <c:pt idx="3">
                  <c:v>620990</c:v>
                </c:pt>
                <c:pt idx="4">
                  <c:v>611248</c:v>
                </c:pt>
              </c:numCache>
            </c:numRef>
          </c:yVal>
          <c:smooth val="1"/>
        </c:ser>
        <c:dLbls>
          <c:showLegendKey val="0"/>
          <c:showVal val="0"/>
          <c:showCatName val="0"/>
          <c:showSerName val="0"/>
          <c:showPercent val="0"/>
          <c:showBubbleSize val="0"/>
        </c:dLbls>
        <c:axId val="36813824"/>
        <c:axId val="37454976"/>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36813824"/>
        <c:scaling>
          <c:orientation val="minMax"/>
          <c:max val="2050"/>
          <c:min val="2015"/>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92421095043434065"/>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37454976"/>
        <c:crosses val="autoZero"/>
        <c:crossBetween val="midCat"/>
        <c:majorUnit val="5"/>
        <c:minorUnit val="2"/>
      </c:valAx>
      <c:valAx>
        <c:axId val="37454976"/>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36813824"/>
        <c:crosses val="autoZero"/>
        <c:crossBetween val="midCat"/>
        <c:dispUnits>
          <c:builtInUnit val="thousands"/>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Jeseník</a:t>
            </a:r>
          </a:p>
        </c:rich>
      </c:tx>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vypocty!$H$1181:$AF$1181</c:f>
              <c:numCache>
                <c:formatCode>0</c:formatCode>
                <c:ptCount val="25"/>
                <c:pt idx="0">
                  <c:v>42635</c:v>
                </c:pt>
                <c:pt idx="1">
                  <c:v>42809</c:v>
                </c:pt>
                <c:pt idx="2">
                  <c:v>42874</c:v>
                </c:pt>
                <c:pt idx="3">
                  <c:v>42945</c:v>
                </c:pt>
                <c:pt idx="4">
                  <c:v>42862</c:v>
                </c:pt>
                <c:pt idx="5">
                  <c:v>42821</c:v>
                </c:pt>
                <c:pt idx="6">
                  <c:v>42784</c:v>
                </c:pt>
                <c:pt idx="7">
                  <c:v>42753</c:v>
                </c:pt>
                <c:pt idx="8">
                  <c:v>42677</c:v>
                </c:pt>
                <c:pt idx="9">
                  <c:v>42597</c:v>
                </c:pt>
                <c:pt idx="10">
                  <c:v>42399</c:v>
                </c:pt>
                <c:pt idx="11">
                  <c:v>42251</c:v>
                </c:pt>
                <c:pt idx="12">
                  <c:v>42148</c:v>
                </c:pt>
                <c:pt idx="13">
                  <c:v>42014</c:v>
                </c:pt>
                <c:pt idx="14">
                  <c:v>41891</c:v>
                </c:pt>
                <c:pt idx="15">
                  <c:v>41827</c:v>
                </c:pt>
                <c:pt idx="16">
                  <c:v>41565</c:v>
                </c:pt>
                <c:pt idx="17">
                  <c:v>41404</c:v>
                </c:pt>
                <c:pt idx="18">
                  <c:v>41255</c:v>
                </c:pt>
                <c:pt idx="19">
                  <c:v>41095</c:v>
                </c:pt>
                <c:pt idx="20">
                  <c:v>40486</c:v>
                </c:pt>
                <c:pt idx="21">
                  <c:v>40189</c:v>
                </c:pt>
                <c:pt idx="22">
                  <c:v>39910</c:v>
                </c:pt>
                <c:pt idx="23">
                  <c:v>39584</c:v>
                </c:pt>
                <c:pt idx="24">
                  <c:v>39261</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(vypocty!$AF$1181,vypocty!$BN$1181:$BQ$1181)</c:f>
              <c:numCache>
                <c:formatCode>0</c:formatCode>
                <c:ptCount val="5"/>
                <c:pt idx="0">
                  <c:v>39261</c:v>
                </c:pt>
                <c:pt idx="1">
                  <c:v>38935</c:v>
                </c:pt>
                <c:pt idx="2">
                  <c:v>38300</c:v>
                </c:pt>
                <c:pt idx="3">
                  <c:v>37687</c:v>
                </c:pt>
                <c:pt idx="4">
                  <c:v>35418</c:v>
                </c:pt>
              </c:numCache>
            </c:numRef>
          </c:yVal>
          <c:smooth val="1"/>
        </c:ser>
        <c:dLbls>
          <c:showLegendKey val="0"/>
          <c:showVal val="0"/>
          <c:showCatName val="0"/>
          <c:showSerName val="0"/>
          <c:showPercent val="0"/>
          <c:showBubbleSize val="0"/>
        </c:dLbls>
        <c:axId val="39326464"/>
        <c:axId val="39328384"/>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39326464"/>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39328384"/>
        <c:crosses val="autoZero"/>
        <c:crossBetween val="midCat"/>
        <c:majorUnit val="5"/>
        <c:minorUnit val="2"/>
      </c:valAx>
      <c:valAx>
        <c:axId val="39328384"/>
        <c:scaling>
          <c:orientation val="minMax"/>
          <c:max val="45000"/>
          <c:min val="34000"/>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39326464"/>
        <c:crosses val="autoZero"/>
        <c:crossBetween val="midCat"/>
        <c:dispUnits>
          <c:builtInUnit val="thousands"/>
        </c:dispUnits>
      </c:valAx>
    </c:plotArea>
    <c:legend>
      <c:legendPos val="b"/>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Šumperk</a:t>
            </a:r>
          </a:p>
        </c:rich>
      </c:tx>
      <c:layout/>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vypocty!$H$1196:$AF$1196</c:f>
              <c:numCache>
                <c:formatCode>0</c:formatCode>
                <c:ptCount val="25"/>
                <c:pt idx="0">
                  <c:v>73896</c:v>
                </c:pt>
                <c:pt idx="1">
                  <c:v>73980</c:v>
                </c:pt>
                <c:pt idx="2">
                  <c:v>74012</c:v>
                </c:pt>
                <c:pt idx="3">
                  <c:v>74082</c:v>
                </c:pt>
                <c:pt idx="4">
                  <c:v>74129</c:v>
                </c:pt>
                <c:pt idx="5">
                  <c:v>74102</c:v>
                </c:pt>
                <c:pt idx="6">
                  <c:v>74102</c:v>
                </c:pt>
                <c:pt idx="7">
                  <c:v>74071</c:v>
                </c:pt>
                <c:pt idx="8">
                  <c:v>73876</c:v>
                </c:pt>
                <c:pt idx="9">
                  <c:v>73714</c:v>
                </c:pt>
                <c:pt idx="10">
                  <c:v>73390</c:v>
                </c:pt>
                <c:pt idx="11">
                  <c:v>73131</c:v>
                </c:pt>
                <c:pt idx="12">
                  <c:v>72967</c:v>
                </c:pt>
                <c:pt idx="13">
                  <c:v>72652</c:v>
                </c:pt>
                <c:pt idx="14">
                  <c:v>72403</c:v>
                </c:pt>
                <c:pt idx="15">
                  <c:v>72266</c:v>
                </c:pt>
                <c:pt idx="16">
                  <c:v>72182</c:v>
                </c:pt>
                <c:pt idx="17">
                  <c:v>72189</c:v>
                </c:pt>
                <c:pt idx="18">
                  <c:v>72087</c:v>
                </c:pt>
                <c:pt idx="19">
                  <c:v>71857</c:v>
                </c:pt>
                <c:pt idx="20">
                  <c:v>71109</c:v>
                </c:pt>
                <c:pt idx="21">
                  <c:v>70838</c:v>
                </c:pt>
                <c:pt idx="22">
                  <c:v>70621</c:v>
                </c:pt>
                <c:pt idx="23">
                  <c:v>70288</c:v>
                </c:pt>
                <c:pt idx="24">
                  <c:v>69940</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(vypocty!$AF$1196,vypocty!$BN$1196:$BQ$1196)</c:f>
              <c:numCache>
                <c:formatCode>0</c:formatCode>
                <c:ptCount val="5"/>
                <c:pt idx="0">
                  <c:v>69940</c:v>
                </c:pt>
                <c:pt idx="1">
                  <c:v>69283</c:v>
                </c:pt>
                <c:pt idx="2">
                  <c:v>68534</c:v>
                </c:pt>
                <c:pt idx="3">
                  <c:v>67845</c:v>
                </c:pt>
                <c:pt idx="4">
                  <c:v>65430</c:v>
                </c:pt>
              </c:numCache>
            </c:numRef>
          </c:yVal>
          <c:smooth val="1"/>
        </c:ser>
        <c:dLbls>
          <c:showLegendKey val="0"/>
          <c:showVal val="0"/>
          <c:showCatName val="0"/>
          <c:showSerName val="0"/>
          <c:showPercent val="0"/>
          <c:showBubbleSize val="0"/>
        </c:dLbls>
        <c:axId val="40272640"/>
        <c:axId val="40274560"/>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40272640"/>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40274560"/>
        <c:crosses val="autoZero"/>
        <c:crossBetween val="midCat"/>
        <c:majorUnit val="5"/>
        <c:minorUnit val="2"/>
      </c:valAx>
      <c:valAx>
        <c:axId val="40274560"/>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layout/>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40272640"/>
        <c:crosses val="autoZero"/>
        <c:crossBetween val="midCat"/>
        <c:dispUnits>
          <c:builtInUnit val="thousands"/>
        </c:dispUnits>
      </c:valAx>
    </c:plotArea>
    <c:legend>
      <c:legendPos val="b"/>
      <c:layout/>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Zábřeh</a:t>
            </a:r>
          </a:p>
        </c:rich>
      </c:tx>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vypocty!$H$1197:$AF$1197</c:f>
              <c:numCache>
                <c:formatCode>0</c:formatCode>
                <c:ptCount val="25"/>
                <c:pt idx="0">
                  <c:v>33833</c:v>
                </c:pt>
                <c:pt idx="1">
                  <c:v>34108</c:v>
                </c:pt>
                <c:pt idx="2">
                  <c:v>34194</c:v>
                </c:pt>
                <c:pt idx="3">
                  <c:v>34281</c:v>
                </c:pt>
                <c:pt idx="4">
                  <c:v>34316</c:v>
                </c:pt>
                <c:pt idx="5">
                  <c:v>34270</c:v>
                </c:pt>
                <c:pt idx="6">
                  <c:v>34219</c:v>
                </c:pt>
                <c:pt idx="7">
                  <c:v>34190</c:v>
                </c:pt>
                <c:pt idx="8">
                  <c:v>34105</c:v>
                </c:pt>
                <c:pt idx="9">
                  <c:v>34091</c:v>
                </c:pt>
                <c:pt idx="10">
                  <c:v>33895</c:v>
                </c:pt>
                <c:pt idx="11">
                  <c:v>33814</c:v>
                </c:pt>
                <c:pt idx="12">
                  <c:v>33868</c:v>
                </c:pt>
                <c:pt idx="13">
                  <c:v>33720</c:v>
                </c:pt>
                <c:pt idx="14">
                  <c:v>33674</c:v>
                </c:pt>
                <c:pt idx="15">
                  <c:v>33626</c:v>
                </c:pt>
                <c:pt idx="16">
                  <c:v>33567</c:v>
                </c:pt>
                <c:pt idx="17">
                  <c:v>33597</c:v>
                </c:pt>
                <c:pt idx="18">
                  <c:v>33591</c:v>
                </c:pt>
                <c:pt idx="19">
                  <c:v>33683</c:v>
                </c:pt>
                <c:pt idx="20">
                  <c:v>33735</c:v>
                </c:pt>
                <c:pt idx="21">
                  <c:v>33662</c:v>
                </c:pt>
                <c:pt idx="22">
                  <c:v>33522</c:v>
                </c:pt>
                <c:pt idx="23">
                  <c:v>33463</c:v>
                </c:pt>
                <c:pt idx="24">
                  <c:v>33452</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(vypocty!$AF$1197,vypocty!$BN$1197:$BQ$1197)</c:f>
              <c:numCache>
                <c:formatCode>0</c:formatCode>
                <c:ptCount val="5"/>
                <c:pt idx="0">
                  <c:v>33452</c:v>
                </c:pt>
                <c:pt idx="1">
                  <c:v>33490</c:v>
                </c:pt>
                <c:pt idx="2">
                  <c:v>33473</c:v>
                </c:pt>
                <c:pt idx="3">
                  <c:v>33449</c:v>
                </c:pt>
                <c:pt idx="4">
                  <c:v>33388</c:v>
                </c:pt>
              </c:numCache>
            </c:numRef>
          </c:yVal>
          <c:smooth val="1"/>
        </c:ser>
        <c:dLbls>
          <c:showLegendKey val="0"/>
          <c:showVal val="0"/>
          <c:showCatName val="0"/>
          <c:showSerName val="0"/>
          <c:showPercent val="0"/>
          <c:showBubbleSize val="0"/>
        </c:dLbls>
        <c:axId val="44069248"/>
        <c:axId val="44071168"/>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44069248"/>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44071168"/>
        <c:crosses val="autoZero"/>
        <c:crossBetween val="midCat"/>
        <c:majorUnit val="5"/>
        <c:minorUnit val="2"/>
      </c:valAx>
      <c:valAx>
        <c:axId val="44071168"/>
        <c:scaling>
          <c:orientation val="minMax"/>
          <c:max val="35000"/>
          <c:min val="30000"/>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44069248"/>
        <c:crosses val="autoZero"/>
        <c:crossBetween val="midCat"/>
        <c:dispUnits>
          <c:builtInUnit val="thousands"/>
        </c:dispUnits>
      </c:valAx>
    </c:plotArea>
    <c:legend>
      <c:legendPos val="b"/>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Mohelnice</a:t>
            </a:r>
          </a:p>
        </c:rich>
      </c:tx>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vypocty!$H$1195:$AF$1195</c:f>
              <c:numCache>
                <c:formatCode>0</c:formatCode>
                <c:ptCount val="25"/>
                <c:pt idx="0">
                  <c:v>18466</c:v>
                </c:pt>
                <c:pt idx="1">
                  <c:v>18472</c:v>
                </c:pt>
                <c:pt idx="2">
                  <c:v>18577</c:v>
                </c:pt>
                <c:pt idx="3">
                  <c:v>18700</c:v>
                </c:pt>
                <c:pt idx="4">
                  <c:v>18753</c:v>
                </c:pt>
                <c:pt idx="5">
                  <c:v>18802</c:v>
                </c:pt>
                <c:pt idx="6">
                  <c:v>18811</c:v>
                </c:pt>
                <c:pt idx="7">
                  <c:v>18867</c:v>
                </c:pt>
                <c:pt idx="8">
                  <c:v>18866</c:v>
                </c:pt>
                <c:pt idx="9">
                  <c:v>18863</c:v>
                </c:pt>
                <c:pt idx="10">
                  <c:v>18793</c:v>
                </c:pt>
                <c:pt idx="11">
                  <c:v>18761</c:v>
                </c:pt>
                <c:pt idx="12">
                  <c:v>18737</c:v>
                </c:pt>
                <c:pt idx="13">
                  <c:v>18674</c:v>
                </c:pt>
                <c:pt idx="14">
                  <c:v>18668</c:v>
                </c:pt>
                <c:pt idx="15">
                  <c:v>18703</c:v>
                </c:pt>
                <c:pt idx="16">
                  <c:v>18726</c:v>
                </c:pt>
                <c:pt idx="17">
                  <c:v>18727</c:v>
                </c:pt>
                <c:pt idx="18">
                  <c:v>18736</c:v>
                </c:pt>
                <c:pt idx="19">
                  <c:v>18706</c:v>
                </c:pt>
                <c:pt idx="20">
                  <c:v>18714</c:v>
                </c:pt>
                <c:pt idx="21">
                  <c:v>18645</c:v>
                </c:pt>
                <c:pt idx="22">
                  <c:v>18592</c:v>
                </c:pt>
                <c:pt idx="23">
                  <c:v>18501</c:v>
                </c:pt>
                <c:pt idx="24">
                  <c:v>18393</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(vypocty!$AF$1195,vypocty!$BN$1195:$BQ$1195)</c:f>
              <c:numCache>
                <c:formatCode>0</c:formatCode>
                <c:ptCount val="5"/>
                <c:pt idx="0">
                  <c:v>18393</c:v>
                </c:pt>
                <c:pt idx="1">
                  <c:v>18389</c:v>
                </c:pt>
                <c:pt idx="2">
                  <c:v>18411</c:v>
                </c:pt>
                <c:pt idx="3">
                  <c:v>18427</c:v>
                </c:pt>
                <c:pt idx="4">
                  <c:v>18368</c:v>
                </c:pt>
              </c:numCache>
            </c:numRef>
          </c:yVal>
          <c:smooth val="1"/>
        </c:ser>
        <c:dLbls>
          <c:showLegendKey val="0"/>
          <c:showVal val="0"/>
          <c:showCatName val="0"/>
          <c:showSerName val="0"/>
          <c:showPercent val="0"/>
          <c:showBubbleSize val="0"/>
        </c:dLbls>
        <c:axId val="44093824"/>
        <c:axId val="44095744"/>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44093824"/>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44095744"/>
        <c:crosses val="autoZero"/>
        <c:crossBetween val="midCat"/>
        <c:majorUnit val="5"/>
        <c:minorUnit val="2"/>
      </c:valAx>
      <c:valAx>
        <c:axId val="44095744"/>
        <c:scaling>
          <c:orientation val="minMax"/>
          <c:max val="20000"/>
          <c:min val="15000"/>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44093824"/>
        <c:crosses val="autoZero"/>
        <c:crossBetween val="midCat"/>
        <c:dispUnits>
          <c:builtInUnit val="thousands"/>
        </c:dispUnits>
      </c:valAx>
    </c:plotArea>
    <c:legend>
      <c:legendPos val="b"/>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Litovel</a:t>
            </a:r>
          </a:p>
        </c:rich>
      </c:tx>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vypocty!$H$1183:$AF$1183</c:f>
              <c:numCache>
                <c:formatCode>0</c:formatCode>
                <c:ptCount val="25"/>
                <c:pt idx="0">
                  <c:v>23582</c:v>
                </c:pt>
                <c:pt idx="1">
                  <c:v>23620</c:v>
                </c:pt>
                <c:pt idx="2">
                  <c:v>23627</c:v>
                </c:pt>
                <c:pt idx="3">
                  <c:v>23648</c:v>
                </c:pt>
                <c:pt idx="4">
                  <c:v>23561</c:v>
                </c:pt>
                <c:pt idx="5">
                  <c:v>23443</c:v>
                </c:pt>
                <c:pt idx="6">
                  <c:v>23468</c:v>
                </c:pt>
                <c:pt idx="7">
                  <c:v>23435</c:v>
                </c:pt>
                <c:pt idx="8">
                  <c:v>23447</c:v>
                </c:pt>
                <c:pt idx="9">
                  <c:v>23428</c:v>
                </c:pt>
                <c:pt idx="10">
                  <c:v>23398</c:v>
                </c:pt>
                <c:pt idx="11">
                  <c:v>23425</c:v>
                </c:pt>
                <c:pt idx="12">
                  <c:v>23494</c:v>
                </c:pt>
                <c:pt idx="13">
                  <c:v>23435</c:v>
                </c:pt>
                <c:pt idx="14">
                  <c:v>23414</c:v>
                </c:pt>
                <c:pt idx="15">
                  <c:v>23451</c:v>
                </c:pt>
                <c:pt idx="16">
                  <c:v>23674</c:v>
                </c:pt>
                <c:pt idx="17">
                  <c:v>23627</c:v>
                </c:pt>
                <c:pt idx="18">
                  <c:v>23697</c:v>
                </c:pt>
                <c:pt idx="19">
                  <c:v>23653</c:v>
                </c:pt>
                <c:pt idx="20">
                  <c:v>23688</c:v>
                </c:pt>
                <c:pt idx="21">
                  <c:v>23727</c:v>
                </c:pt>
                <c:pt idx="22">
                  <c:v>23748</c:v>
                </c:pt>
                <c:pt idx="23">
                  <c:v>23804</c:v>
                </c:pt>
                <c:pt idx="24">
                  <c:v>23771</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(vypocty!$AF$1183,vypocty!$BN$1183:$BQ$1183)</c:f>
              <c:numCache>
                <c:formatCode>0</c:formatCode>
                <c:ptCount val="5"/>
                <c:pt idx="0">
                  <c:v>23771</c:v>
                </c:pt>
                <c:pt idx="1">
                  <c:v>23607</c:v>
                </c:pt>
                <c:pt idx="2">
                  <c:v>23556</c:v>
                </c:pt>
                <c:pt idx="3">
                  <c:v>23470</c:v>
                </c:pt>
                <c:pt idx="4">
                  <c:v>23175</c:v>
                </c:pt>
              </c:numCache>
            </c:numRef>
          </c:yVal>
          <c:smooth val="1"/>
        </c:ser>
        <c:dLbls>
          <c:showLegendKey val="0"/>
          <c:showVal val="0"/>
          <c:showCatName val="0"/>
          <c:showSerName val="0"/>
          <c:showPercent val="0"/>
          <c:showBubbleSize val="0"/>
        </c:dLbls>
        <c:axId val="82068608"/>
        <c:axId val="82070528"/>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82068608"/>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82070528"/>
        <c:crosses val="autoZero"/>
        <c:crossBetween val="midCat"/>
        <c:majorUnit val="5"/>
        <c:minorUnit val="2"/>
      </c:valAx>
      <c:valAx>
        <c:axId val="82070528"/>
        <c:scaling>
          <c:orientation val="minMax"/>
          <c:max val="25000"/>
          <c:min val="20000"/>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82068608"/>
        <c:crosses val="autoZero"/>
        <c:crossBetween val="midCat"/>
        <c:dispUnits>
          <c:builtInUnit val="thousands"/>
        </c:dispUnits>
      </c:valAx>
    </c:plotArea>
    <c:legend>
      <c:legendPos val="b"/>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Uničov</a:t>
            </a:r>
          </a:p>
        </c:rich>
      </c:tx>
      <c:layout/>
      <c:overlay val="0"/>
    </c:title>
    <c:autoTitleDeleted val="0"/>
    <c:plotArea>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vypocty!$H$1186:$AF$1186</c:f>
              <c:numCache>
                <c:formatCode>0</c:formatCode>
                <c:ptCount val="25"/>
                <c:pt idx="0">
                  <c:v>23181</c:v>
                </c:pt>
                <c:pt idx="1">
                  <c:v>23232</c:v>
                </c:pt>
                <c:pt idx="2">
                  <c:v>23231</c:v>
                </c:pt>
                <c:pt idx="3">
                  <c:v>23188</c:v>
                </c:pt>
                <c:pt idx="4">
                  <c:v>23178</c:v>
                </c:pt>
                <c:pt idx="5">
                  <c:v>23184</c:v>
                </c:pt>
                <c:pt idx="6">
                  <c:v>23206</c:v>
                </c:pt>
                <c:pt idx="7">
                  <c:v>23177</c:v>
                </c:pt>
                <c:pt idx="8">
                  <c:v>23134</c:v>
                </c:pt>
                <c:pt idx="9">
                  <c:v>23178</c:v>
                </c:pt>
                <c:pt idx="10">
                  <c:v>23042</c:v>
                </c:pt>
                <c:pt idx="11">
                  <c:v>22982</c:v>
                </c:pt>
                <c:pt idx="12">
                  <c:v>23035</c:v>
                </c:pt>
                <c:pt idx="13">
                  <c:v>23027</c:v>
                </c:pt>
                <c:pt idx="14">
                  <c:v>22978</c:v>
                </c:pt>
                <c:pt idx="15">
                  <c:v>22881</c:v>
                </c:pt>
                <c:pt idx="16">
                  <c:v>22993</c:v>
                </c:pt>
                <c:pt idx="17">
                  <c:v>23071</c:v>
                </c:pt>
                <c:pt idx="18">
                  <c:v>22995</c:v>
                </c:pt>
                <c:pt idx="19">
                  <c:v>22944</c:v>
                </c:pt>
                <c:pt idx="20">
                  <c:v>22882</c:v>
                </c:pt>
                <c:pt idx="21">
                  <c:v>22747</c:v>
                </c:pt>
                <c:pt idx="22">
                  <c:v>22648</c:v>
                </c:pt>
                <c:pt idx="23">
                  <c:v>22552</c:v>
                </c:pt>
                <c:pt idx="24">
                  <c:v>22532</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(vypocty!$AF$1186,vypocty!$BN$1186:$BQ$1186)</c:f>
              <c:numCache>
                <c:formatCode>0</c:formatCode>
                <c:ptCount val="5"/>
                <c:pt idx="0">
                  <c:v>22532</c:v>
                </c:pt>
                <c:pt idx="1">
                  <c:v>22632</c:v>
                </c:pt>
                <c:pt idx="2">
                  <c:v>22446</c:v>
                </c:pt>
                <c:pt idx="3">
                  <c:v>22272</c:v>
                </c:pt>
                <c:pt idx="4">
                  <c:v>21651</c:v>
                </c:pt>
              </c:numCache>
            </c:numRef>
          </c:yVal>
          <c:smooth val="1"/>
        </c:ser>
        <c:dLbls>
          <c:showLegendKey val="0"/>
          <c:showVal val="0"/>
          <c:showCatName val="0"/>
          <c:showSerName val="0"/>
          <c:showPercent val="0"/>
          <c:showBubbleSize val="0"/>
        </c:dLbls>
        <c:axId val="82715392"/>
        <c:axId val="82717312"/>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82715392"/>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82717312"/>
        <c:crosses val="autoZero"/>
        <c:crossBetween val="midCat"/>
        <c:majorUnit val="5"/>
        <c:minorUnit val="2"/>
      </c:valAx>
      <c:valAx>
        <c:axId val="82717312"/>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layout/>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82715392"/>
        <c:crosses val="autoZero"/>
        <c:crossBetween val="midCat"/>
        <c:dispUnits>
          <c:builtInUnit val="thousands"/>
        </c:dispUnits>
      </c:valAx>
    </c:plotArea>
    <c:legend>
      <c:legendPos val="b"/>
      <c:layout/>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Narrow" panose="020B0606020202030204" pitchFamily="34" charset="0"/>
              </a:rPr>
              <a:t>Vývoj počtu</a:t>
            </a:r>
            <a:r>
              <a:rPr lang="cs-CZ" sz="1200" baseline="0">
                <a:latin typeface="Arial Narrow" panose="020B0606020202030204" pitchFamily="34" charset="0"/>
              </a:rPr>
              <a:t> obyvatel </a:t>
            </a:r>
            <a:r>
              <a:rPr lang="cs-CZ" sz="1200">
                <a:latin typeface="Arial Narrow" panose="020B0606020202030204" pitchFamily="34" charset="0"/>
              </a:rPr>
              <a:t>ORP Šternberk</a:t>
            </a:r>
          </a:p>
        </c:rich>
      </c:tx>
      <c:overlay val="0"/>
    </c:title>
    <c:autoTitleDeleted val="0"/>
    <c:plotArea>
      <c:layout>
        <c:manualLayout>
          <c:layoutTarget val="inner"/>
          <c:xMode val="edge"/>
          <c:yMode val="edge"/>
          <c:x val="8.58764368995618E-2"/>
          <c:y val="0.10588282056612187"/>
          <c:w val="0.86977267890555976"/>
          <c:h val="0.68198022666797675"/>
        </c:manualLayout>
      </c:layout>
      <c:scatterChart>
        <c:scatterStyle val="smoothMarker"/>
        <c:varyColors val="0"/>
        <c:ser>
          <c:idx val="0"/>
          <c:order val="0"/>
          <c:tx>
            <c:v>Vývoj</c:v>
          </c:tx>
          <c:spPr>
            <a:ln>
              <a:solidFill>
                <a:schemeClr val="tx1"/>
              </a:solidFill>
            </a:ln>
          </c:spPr>
          <c:marker>
            <c:symbol val="none"/>
          </c:marker>
          <c:xVal>
            <c:numRef>
              <c:f>vypocty!$H$2:$AF$2</c:f>
              <c:numCache>
                <c:formatCode>0</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xVal>
          <c:yVal>
            <c:numRef>
              <c:f>vypocty!$H$1185:$AF$1185</c:f>
              <c:numCache>
                <c:formatCode>0</c:formatCode>
                <c:ptCount val="25"/>
                <c:pt idx="0">
                  <c:v>19954</c:v>
                </c:pt>
                <c:pt idx="1">
                  <c:v>19919</c:v>
                </c:pt>
                <c:pt idx="2">
                  <c:v>19925</c:v>
                </c:pt>
                <c:pt idx="3">
                  <c:v>19888</c:v>
                </c:pt>
                <c:pt idx="4">
                  <c:v>19958</c:v>
                </c:pt>
                <c:pt idx="5">
                  <c:v>20040</c:v>
                </c:pt>
                <c:pt idx="6">
                  <c:v>19996</c:v>
                </c:pt>
                <c:pt idx="7">
                  <c:v>20012</c:v>
                </c:pt>
                <c:pt idx="8">
                  <c:v>20034</c:v>
                </c:pt>
                <c:pt idx="9">
                  <c:v>20010</c:v>
                </c:pt>
                <c:pt idx="10">
                  <c:v>19676</c:v>
                </c:pt>
                <c:pt idx="11">
                  <c:v>19615</c:v>
                </c:pt>
                <c:pt idx="12">
                  <c:v>19547</c:v>
                </c:pt>
                <c:pt idx="13">
                  <c:v>19623</c:v>
                </c:pt>
                <c:pt idx="14">
                  <c:v>23803</c:v>
                </c:pt>
                <c:pt idx="15">
                  <c:v>23834</c:v>
                </c:pt>
                <c:pt idx="16">
                  <c:v>23896</c:v>
                </c:pt>
                <c:pt idx="17">
                  <c:v>23921</c:v>
                </c:pt>
                <c:pt idx="18">
                  <c:v>23889</c:v>
                </c:pt>
                <c:pt idx="19">
                  <c:v>23827</c:v>
                </c:pt>
                <c:pt idx="20">
                  <c:v>23708</c:v>
                </c:pt>
                <c:pt idx="21">
                  <c:v>23657</c:v>
                </c:pt>
                <c:pt idx="22">
                  <c:v>23576</c:v>
                </c:pt>
                <c:pt idx="23">
                  <c:v>23621</c:v>
                </c:pt>
                <c:pt idx="24">
                  <c:v>23639</c:v>
                </c:pt>
              </c:numCache>
            </c:numRef>
          </c:yVal>
          <c:smooth val="1"/>
        </c:ser>
        <c:ser>
          <c:idx val="1"/>
          <c:order val="1"/>
          <c:tx>
            <c:v>Předpoklad vývoje</c:v>
          </c:tx>
          <c:spPr>
            <a:ln>
              <a:solidFill>
                <a:schemeClr val="tx1"/>
              </a:solidFill>
              <a:prstDash val="dash"/>
            </a:ln>
          </c:spPr>
          <c:marker>
            <c:symbol val="none"/>
          </c:marker>
          <c:xVal>
            <c:numRef>
              <c:f>(vypocty!$AF$2,vypocty!$BN$2:$BQ$2)</c:f>
              <c:numCache>
                <c:formatCode>0</c:formatCode>
                <c:ptCount val="5"/>
                <c:pt idx="0">
                  <c:v>2015</c:v>
                </c:pt>
                <c:pt idx="1">
                  <c:v>2020</c:v>
                </c:pt>
                <c:pt idx="2">
                  <c:v>2025</c:v>
                </c:pt>
                <c:pt idx="3">
                  <c:v>2030</c:v>
                </c:pt>
                <c:pt idx="4">
                  <c:v>2050</c:v>
                </c:pt>
              </c:numCache>
            </c:numRef>
          </c:xVal>
          <c:yVal>
            <c:numRef>
              <c:f>(vypocty!$AF$1185,vypocty!$BN$1185:$BQ$1185)</c:f>
              <c:numCache>
                <c:formatCode>0</c:formatCode>
                <c:ptCount val="5"/>
                <c:pt idx="0">
                  <c:v>23639</c:v>
                </c:pt>
                <c:pt idx="1">
                  <c:v>23913</c:v>
                </c:pt>
                <c:pt idx="2">
                  <c:v>23644</c:v>
                </c:pt>
                <c:pt idx="3">
                  <c:v>23384</c:v>
                </c:pt>
                <c:pt idx="4">
                  <c:v>22273</c:v>
                </c:pt>
              </c:numCache>
            </c:numRef>
          </c:yVal>
          <c:smooth val="1"/>
        </c:ser>
        <c:dLbls>
          <c:showLegendKey val="0"/>
          <c:showVal val="0"/>
          <c:showCatName val="0"/>
          <c:showSerName val="0"/>
          <c:showPercent val="0"/>
          <c:showBubbleSize val="0"/>
        </c:dLbls>
        <c:axId val="114556928"/>
        <c:axId val="114558848"/>
        <c:extLst>
          <c:ext xmlns:c15="http://schemas.microsoft.com/office/drawing/2012/chart" uri="{02D57815-91ED-43cb-92C2-25804820EDAC}">
            <c15:filteredScatterSeries>
              <c15:ser>
                <c:idx val="2"/>
                <c:order val="2"/>
                <c:tx>
                  <c:v>Litovel - Vývoj</c:v>
                </c:tx>
                <c:spPr>
                  <a:ln>
                    <a:solidFill>
                      <a:srgbClr val="92D050"/>
                    </a:solidFill>
                  </a:ln>
                </c:spPr>
                <c:marker>
                  <c:symbol val="none"/>
                </c:marker>
                <c:xVal>
                  <c:numRef>
                    <c:extLst>
                      <c:ext uri="{02D57815-91ED-43cb-92C2-25804820EDAC}">
                        <c15:formulaRef>
                          <c15:sqref>vypocty!$G$2:$AF$2</c15:sqref>
                        </c15:formulaRef>
                      </c:ext>
                    </c:extLst>
                    <c:numCache>
                      <c:formatCode>0</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xVal>
                <c:yVal>
                  <c:numRef>
                    <c:extLst>
                      <c:ext uri="{02D57815-91ED-43cb-92C2-25804820EDAC}">
                        <c15:formulaRef>
                          <c15:sqref>vypocty!$G$1183:$AF$1183</c15:sqref>
                        </c15:formulaRef>
                      </c:ext>
                    </c:extLst>
                    <c:numCache>
                      <c:formatCode>0</c:formatCode>
                      <c:ptCount val="26"/>
                      <c:pt idx="0">
                        <c:v>22553</c:v>
                      </c:pt>
                      <c:pt idx="1">
                        <c:v>23582</c:v>
                      </c:pt>
                      <c:pt idx="2">
                        <c:v>23620</c:v>
                      </c:pt>
                      <c:pt idx="3">
                        <c:v>23627</c:v>
                      </c:pt>
                      <c:pt idx="4">
                        <c:v>23648</c:v>
                      </c:pt>
                      <c:pt idx="5">
                        <c:v>23561</c:v>
                      </c:pt>
                      <c:pt idx="6">
                        <c:v>23443</c:v>
                      </c:pt>
                      <c:pt idx="7">
                        <c:v>23468</c:v>
                      </c:pt>
                      <c:pt idx="8">
                        <c:v>23435</c:v>
                      </c:pt>
                      <c:pt idx="9">
                        <c:v>23447</c:v>
                      </c:pt>
                      <c:pt idx="10">
                        <c:v>23428</c:v>
                      </c:pt>
                      <c:pt idx="11">
                        <c:v>23398</c:v>
                      </c:pt>
                      <c:pt idx="12">
                        <c:v>23425</c:v>
                      </c:pt>
                      <c:pt idx="13">
                        <c:v>23494</c:v>
                      </c:pt>
                      <c:pt idx="14">
                        <c:v>23435</c:v>
                      </c:pt>
                      <c:pt idx="15">
                        <c:v>23414</c:v>
                      </c:pt>
                      <c:pt idx="16">
                        <c:v>23451</c:v>
                      </c:pt>
                      <c:pt idx="17">
                        <c:v>23674</c:v>
                      </c:pt>
                      <c:pt idx="18">
                        <c:v>23627</c:v>
                      </c:pt>
                      <c:pt idx="19">
                        <c:v>23697</c:v>
                      </c:pt>
                      <c:pt idx="20">
                        <c:v>23653</c:v>
                      </c:pt>
                      <c:pt idx="21">
                        <c:v>23688</c:v>
                      </c:pt>
                      <c:pt idx="22">
                        <c:v>23727</c:v>
                      </c:pt>
                      <c:pt idx="23">
                        <c:v>23748</c:v>
                      </c:pt>
                      <c:pt idx="24">
                        <c:v>23804</c:v>
                      </c:pt>
                      <c:pt idx="25">
                        <c:v>23771</c:v>
                      </c:pt>
                    </c:numCache>
                  </c:numRef>
                </c:yVal>
                <c:smooth val="1"/>
              </c15:ser>
            </c15:filteredScatterSeries>
            <c15:filteredScatterSeries>
              <c15:ser>
                <c:idx val="3"/>
                <c:order val="3"/>
                <c:tx>
                  <c:v>Litovel - Prognóza</c:v>
                </c:tx>
                <c:spPr>
                  <a:ln>
                    <a:solidFill>
                      <a:srgbClr val="92D050"/>
                    </a:solidFill>
                    <a:prstDash val="dash"/>
                  </a:ln>
                </c:spPr>
                <c:marker>
                  <c:symbol val="none"/>
                </c:marker>
                <c:xVal>
                  <c:numRef>
                    <c:extLst xmlns:c15="http://schemas.microsoft.com/office/drawing/2012/chart">
                      <c:ext xmlns:c15="http://schemas.microsoft.com/office/drawing/2012/chart" uri="{02D57815-91ED-43cb-92C2-25804820EDAC}">
                        <c15:formulaRef>
                          <c15:sqref>vypocty!$BN$2:$BQ$2</c15:sqref>
                        </c15:formulaRef>
                      </c:ext>
                    </c:extLst>
                    <c:numCache>
                      <c:formatCode>0</c:formatCode>
                      <c:ptCount val="4"/>
                      <c:pt idx="0">
                        <c:v>2020</c:v>
                      </c:pt>
                      <c:pt idx="1">
                        <c:v>2025</c:v>
                      </c:pt>
                      <c:pt idx="2">
                        <c:v>2030</c:v>
                      </c:pt>
                      <c:pt idx="3">
                        <c:v>2050</c:v>
                      </c:pt>
                    </c:numCache>
                  </c:numRef>
                </c:xVal>
                <c:yVal>
                  <c:numRef>
                    <c:extLst xmlns:c15="http://schemas.microsoft.com/office/drawing/2012/chart">
                      <c:ext xmlns:c15="http://schemas.microsoft.com/office/drawing/2012/chart" uri="{02D57815-91ED-43cb-92C2-25804820EDAC}">
                        <c15:formulaRef>
                          <c15:sqref>vypocty!$BN$1183:$BQ$1183</c15:sqref>
                        </c15:formulaRef>
                      </c:ext>
                    </c:extLst>
                    <c:numCache>
                      <c:formatCode>0</c:formatCode>
                      <c:ptCount val="4"/>
                      <c:pt idx="0">
                        <c:v>24007</c:v>
                      </c:pt>
                      <c:pt idx="1">
                        <c:v>24219</c:v>
                      </c:pt>
                      <c:pt idx="2">
                        <c:v>24435</c:v>
                      </c:pt>
                      <c:pt idx="3">
                        <c:v>25353</c:v>
                      </c:pt>
                    </c:numCache>
                  </c:numRef>
                </c:yVal>
                <c:smooth val="1"/>
              </c15:ser>
            </c15:filteredScatterSeries>
          </c:ext>
        </c:extLst>
      </c:scatterChart>
      <c:valAx>
        <c:axId val="114556928"/>
        <c:scaling>
          <c:orientation val="minMax"/>
          <c:max val="2050"/>
          <c:min val="1990"/>
        </c:scaling>
        <c:delete val="0"/>
        <c:axPos val="b"/>
        <c:majorGridlines/>
        <c:title>
          <c:tx>
            <c:rich>
              <a:bodyPr/>
              <a:lstStyle/>
              <a:p>
                <a:pPr>
                  <a:defRPr/>
                </a:pPr>
                <a:r>
                  <a:rPr lang="cs-CZ">
                    <a:solidFill>
                      <a:sysClr val="windowText" lastClr="000000"/>
                    </a:solidFill>
                    <a:latin typeface="Arial Narrow" panose="020B0606020202030204" pitchFamily="34" charset="0"/>
                  </a:rPr>
                  <a:t>Rok</a:t>
                </a:r>
              </a:p>
            </c:rich>
          </c:tx>
          <c:layout>
            <c:manualLayout>
              <c:xMode val="edge"/>
              <c:yMode val="edge"/>
              <c:x val="0.93675289590162747"/>
              <c:y val="0.86777355718026328"/>
            </c:manualLayout>
          </c:layout>
          <c:overlay val="0"/>
        </c:title>
        <c:numFmt formatCode="0" sourceLinked="1"/>
        <c:majorTickMark val="out"/>
        <c:minorTickMark val="none"/>
        <c:tickLblPos val="nextTo"/>
        <c:txPr>
          <a:bodyPr/>
          <a:lstStyle/>
          <a:p>
            <a:pPr>
              <a:defRPr baseline="0">
                <a:latin typeface="Arial Narrow" panose="020B0606020202030204" pitchFamily="34" charset="0"/>
              </a:defRPr>
            </a:pPr>
            <a:endParaRPr lang="cs-CZ"/>
          </a:p>
        </c:txPr>
        <c:crossAx val="114558848"/>
        <c:crosses val="autoZero"/>
        <c:crossBetween val="midCat"/>
        <c:majorUnit val="5"/>
        <c:minorUnit val="2"/>
      </c:valAx>
      <c:valAx>
        <c:axId val="114558848"/>
        <c:scaling>
          <c:orientation val="minMax"/>
        </c:scaling>
        <c:delete val="0"/>
        <c:axPos val="l"/>
        <c:majorGridlines/>
        <c:title>
          <c:tx>
            <c:rich>
              <a:bodyPr/>
              <a:lstStyle/>
              <a:p>
                <a:pPr>
                  <a:defRPr/>
                </a:pPr>
                <a:r>
                  <a:rPr lang="cs-CZ">
                    <a:solidFill>
                      <a:sysClr val="windowText" lastClr="000000"/>
                    </a:solidFill>
                    <a:latin typeface="Arial Narrow" panose="020B0606020202030204" pitchFamily="34" charset="0"/>
                  </a:rPr>
                  <a:t>Počet obyvatel v tis.</a:t>
                </a:r>
              </a:p>
            </c:rich>
          </c:tx>
          <c:overlay val="0"/>
        </c:title>
        <c:numFmt formatCode="General" sourceLinked="0"/>
        <c:majorTickMark val="out"/>
        <c:minorTickMark val="none"/>
        <c:tickLblPos val="nextTo"/>
        <c:txPr>
          <a:bodyPr/>
          <a:lstStyle/>
          <a:p>
            <a:pPr>
              <a:defRPr baseline="0">
                <a:latin typeface="Arial Narrow" panose="020B0606020202030204" pitchFamily="34" charset="0"/>
              </a:defRPr>
            </a:pPr>
            <a:endParaRPr lang="cs-CZ"/>
          </a:p>
        </c:txPr>
        <c:crossAx val="114556928"/>
        <c:crosses val="autoZero"/>
        <c:crossBetween val="midCat"/>
        <c:dispUnits>
          <c:builtInUnit val="thousands"/>
        </c:dispUnits>
      </c:valAx>
    </c:plotArea>
    <c:legend>
      <c:legendPos val="b"/>
      <c:overlay val="0"/>
      <c:txPr>
        <a:bodyPr/>
        <a:lstStyle/>
        <a:p>
          <a:pPr>
            <a:defRPr baseline="0">
              <a:latin typeface="Arial Narrow" panose="020B0606020202030204" pitchFamily="34" charset="0"/>
            </a:defRPr>
          </a:pPr>
          <a:endParaRPr lang="cs-CZ"/>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Živly">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Hori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7731D-6AA4-42F0-8905-C3DB4473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11091</Words>
  <Characters>65440</Characters>
  <Application>Microsoft Office Word</Application>
  <DocSecurity>0</DocSecurity>
  <Lines>545</Lines>
  <Paragraphs>152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Oháňka</dc:creator>
  <cp:lastModifiedBy>Veselský Josef</cp:lastModifiedBy>
  <cp:revision>12</cp:revision>
  <cp:lastPrinted>2016-12-20T08:42:00Z</cp:lastPrinted>
  <dcterms:created xsi:type="dcterms:W3CDTF">2018-11-15T11:24:00Z</dcterms:created>
  <dcterms:modified xsi:type="dcterms:W3CDTF">2018-11-27T08:50:00Z</dcterms:modified>
</cp:coreProperties>
</file>