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7BF5" w14:textId="61B7EA6D" w:rsidR="008143F3" w:rsidRDefault="00AB7BF8" w:rsidP="00387D5A">
      <w:pPr>
        <w:spacing w:before="240" w:after="120"/>
        <w:ind w:left="0" w:firstLine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90DEA">
        <w:rPr>
          <w:rFonts w:ascii="Arial" w:hAnsi="Arial" w:cs="Arial"/>
          <w:noProof/>
          <w:color w:val="006AAA"/>
          <w:lang w:eastAsia="cs-CZ"/>
        </w:rPr>
        <w:drawing>
          <wp:anchor distT="0" distB="0" distL="114300" distR="114300" simplePos="0" relativeHeight="251659264" behindDoc="0" locked="0" layoutInCell="1" allowOverlap="1" wp14:anchorId="63EED8A4" wp14:editId="199A2C0F">
            <wp:simplePos x="0" y="0"/>
            <wp:positionH relativeFrom="margin">
              <wp:align>right</wp:align>
            </wp:positionH>
            <wp:positionV relativeFrom="page">
              <wp:posOffset>746248</wp:posOffset>
            </wp:positionV>
            <wp:extent cx="1440000" cy="4284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570CE" w14:textId="2BF62A68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62717E89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</w:t>
      </w:r>
      <w:r w:rsidR="008143F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8143F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0064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03710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1D44A51" w14:textId="77777777" w:rsidR="00AD7C4F" w:rsidRPr="000A6404" w:rsidRDefault="00E62519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7C4F" w:rsidRPr="00681825">
        <w:rPr>
          <w:rFonts w:ascii="Arial" w:eastAsia="Times New Roman" w:hAnsi="Arial" w:cs="Arial"/>
          <w:sz w:val="24"/>
          <w:szCs w:val="24"/>
          <w:lang w:eastAsia="cs-CZ"/>
        </w:rPr>
        <w:t>Ing. Petrem Lyskem, uvolněným členem Rady Olomouckého kraje, na základě usnesení Zastupitelstva Olomouckého kraje</w:t>
      </w:r>
      <w:r w:rsidR="00AD7C4F">
        <w:rPr>
          <w:rFonts w:ascii="Arial" w:eastAsia="Times New Roman" w:hAnsi="Arial" w:cs="Arial"/>
          <w:sz w:val="24"/>
          <w:szCs w:val="24"/>
          <w:lang w:eastAsia="cs-CZ"/>
        </w:rPr>
        <w:t xml:space="preserve"> č. UZ/10/70/2022 ze dne 27. 6. </w:t>
      </w:r>
      <w:r w:rsidR="00AD7C4F" w:rsidRPr="00681825">
        <w:rPr>
          <w:rFonts w:ascii="Arial" w:eastAsia="Times New Roman" w:hAnsi="Arial" w:cs="Arial"/>
          <w:sz w:val="24"/>
          <w:szCs w:val="24"/>
          <w:lang w:eastAsia="cs-CZ"/>
        </w:rPr>
        <w:t>2022</w:t>
      </w:r>
    </w:p>
    <w:p w14:paraId="6833CDBB" w14:textId="77777777" w:rsidR="00AD7C4F" w:rsidRPr="000A6404" w:rsidRDefault="00AD7C4F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A6404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a.s., č. ú. 27-4228330207/0100</w:t>
      </w:r>
    </w:p>
    <w:p w14:paraId="54559463" w14:textId="14040C0E" w:rsidR="00E62519" w:rsidRPr="00957345" w:rsidRDefault="00E62519" w:rsidP="00AD7C4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972D927" w14:textId="77777777" w:rsidR="00AD7C4F" w:rsidRPr="00E62519" w:rsidRDefault="00AD7C4F" w:rsidP="00AD7C4F">
      <w:pPr>
        <w:spacing w:before="240" w:after="24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Fakultní nemocnice Olomouc</w:t>
      </w:r>
    </w:p>
    <w:p w14:paraId="76019E15" w14:textId="77777777" w:rsidR="00AD7C4F" w:rsidRPr="00E62519" w:rsidRDefault="00AD7C4F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A6404">
        <w:rPr>
          <w:rFonts w:ascii="Arial" w:eastAsia="Times New Roman" w:hAnsi="Arial" w:cs="Arial"/>
          <w:sz w:val="24"/>
          <w:szCs w:val="24"/>
          <w:lang w:eastAsia="cs-CZ"/>
        </w:rPr>
        <w:t>Zdravotníků 248/7, 779 00 Olomouc</w:t>
      </w:r>
    </w:p>
    <w:p w14:paraId="371A8191" w14:textId="77777777" w:rsidR="00AD7C4F" w:rsidRPr="00E62519" w:rsidRDefault="00AD7C4F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00098892</w:t>
      </w:r>
    </w:p>
    <w:p w14:paraId="0EE96DEC" w14:textId="77777777" w:rsidR="00AD7C4F" w:rsidRPr="00E62519" w:rsidRDefault="00AD7C4F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CZ00098892</w:t>
      </w:r>
    </w:p>
    <w:p w14:paraId="2C2AACD6" w14:textId="77777777" w:rsidR="00AD7C4F" w:rsidRPr="00E62519" w:rsidRDefault="00AD7C4F" w:rsidP="00AD7C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A6404">
        <w:rPr>
          <w:rFonts w:ascii="Arial" w:eastAsia="Times New Roman" w:hAnsi="Arial" w:cs="Arial"/>
          <w:sz w:val="24"/>
          <w:szCs w:val="24"/>
          <w:lang w:eastAsia="cs-CZ"/>
        </w:rPr>
        <w:t>prof. MUDr. Roman</w:t>
      </w:r>
      <w:r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0A6404">
        <w:rPr>
          <w:rFonts w:ascii="Arial" w:eastAsia="Times New Roman" w:hAnsi="Arial" w:cs="Arial"/>
          <w:sz w:val="24"/>
          <w:szCs w:val="24"/>
          <w:lang w:eastAsia="cs-CZ"/>
        </w:rPr>
        <w:t xml:space="preserve"> Havlík</w:t>
      </w:r>
      <w:r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0A6404">
        <w:rPr>
          <w:rFonts w:ascii="Arial" w:eastAsia="Times New Roman" w:hAnsi="Arial" w:cs="Arial"/>
          <w:sz w:val="24"/>
          <w:szCs w:val="24"/>
          <w:lang w:eastAsia="cs-CZ"/>
        </w:rPr>
        <w:t>, Ph.D.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</w:p>
    <w:p w14:paraId="7C3546C2" w14:textId="77777777" w:rsidR="00AD7C4F" w:rsidRPr="00E62519" w:rsidRDefault="00AD7C4F" w:rsidP="00AD7C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Česká národní banka, č. ú. 36334811/0710</w:t>
      </w:r>
    </w:p>
    <w:p w14:paraId="22E88973" w14:textId="77777777" w:rsidR="00AD7C4F" w:rsidRPr="00E62519" w:rsidRDefault="00AD7C4F" w:rsidP="00AD7C4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AB993FB" w14:textId="77777777" w:rsidR="0060213F" w:rsidRPr="00957345" w:rsidRDefault="0060213F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E099A0" w14:textId="25778059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6021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AD7C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3710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3509F7F8" w:rsidR="0084475A" w:rsidRPr="00034E37" w:rsidRDefault="00FD6578" w:rsidP="00FD657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4D0896">
        <w:rPr>
          <w:rFonts w:ascii="Arial" w:eastAsia="Times New Roman" w:hAnsi="Arial" w:cs="Arial"/>
          <w:sz w:val="24"/>
          <w:szCs w:val="24"/>
          <w:lang w:eastAsia="cs-CZ"/>
        </w:rPr>
        <w:t>15. 8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60213F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60213F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2A7530">
        <w:rPr>
          <w:rFonts w:ascii="Arial" w:eastAsia="Times New Roman" w:hAnsi="Arial" w:cs="Arial"/>
          <w:sz w:val="24"/>
          <w:szCs w:val="24"/>
          <w:lang w:eastAsia="cs-CZ"/>
        </w:rPr>
        <w:t>3710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/OSR/DSM (dále jen „Smlouva“). </w:t>
      </w:r>
    </w:p>
    <w:p w14:paraId="6592CE74" w14:textId="77777777" w:rsidR="00AB7BF8" w:rsidRDefault="00AB7BF8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11F455F8" w:rsidR="009A3DA5" w:rsidRPr="00957345" w:rsidRDefault="009A3DA5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3B2B49D" w14:textId="090E840E" w:rsidR="001D30FE" w:rsidRDefault="00CB0607" w:rsidP="004F68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prostřednictvím tohoto dodatku uděluje příjemci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7530">
        <w:rPr>
          <w:rFonts w:ascii="Arial" w:eastAsia="Times New Roman" w:hAnsi="Arial" w:cs="Arial"/>
          <w:sz w:val="24"/>
          <w:szCs w:val="24"/>
          <w:lang w:eastAsia="cs-CZ"/>
        </w:rPr>
        <w:t xml:space="preserve">období realizace </w:t>
      </w:r>
      <w:r w:rsidR="00C322B2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2A7530">
        <w:rPr>
          <w:rFonts w:ascii="Arial" w:eastAsia="Times New Roman" w:hAnsi="Arial" w:cs="Arial"/>
          <w:sz w:val="24"/>
          <w:szCs w:val="24"/>
          <w:lang w:eastAsia="cs-CZ"/>
        </w:rPr>
        <w:t xml:space="preserve"> a termínu pro použití dotace do 31. 3. 2024 a termínu pro předložení vyúčtování dotace do 30. 4. 2024. </w:t>
      </w:r>
    </w:p>
    <w:p w14:paraId="0176E2C7" w14:textId="0437A44F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3727EC4A" w:rsidR="00431EE6" w:rsidRPr="002A7530" w:rsidRDefault="002A7530" w:rsidP="00E645F3">
      <w:pPr>
        <w:pStyle w:val="Odstavecseseznamem"/>
        <w:numPr>
          <w:ilvl w:val="0"/>
          <w:numId w:val="6"/>
        </w:numPr>
        <w:tabs>
          <w:tab w:val="left" w:pos="8100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2. nově zní</w:t>
      </w:r>
      <w:r w:rsidR="00431EE6" w:rsidRPr="002A7530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</w:p>
    <w:p w14:paraId="1C564B68" w14:textId="3EEBF292" w:rsidR="002A7530" w:rsidRPr="002A7530" w:rsidRDefault="00431EE6" w:rsidP="001C68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="002A753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 3. 2024.</w:t>
      </w:r>
      <w:r w:rsidR="002A7530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77D17CC8" w14:textId="77777777" w:rsidR="002A7530" w:rsidRPr="002A7530" w:rsidRDefault="002A7530" w:rsidP="002A7530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 1. 2023 do 31. 3. 2024.</w:t>
      </w:r>
    </w:p>
    <w:p w14:paraId="3AACFBA5" w14:textId="6A1A178B" w:rsidR="002A7530" w:rsidRPr="002A7530" w:rsidRDefault="002A7530" w:rsidP="002A7530">
      <w:pPr>
        <w:pStyle w:val="Odstavecseseznamem"/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2 100 000 Kč (slovy: dva miliony </w:t>
      </w:r>
      <w:r w:rsidR="00C322B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2A7530">
        <w:rPr>
          <w:rFonts w:ascii="Arial" w:eastAsia="Times New Roman" w:hAnsi="Arial" w:cs="Arial"/>
          <w:sz w:val="24"/>
          <w:szCs w:val="24"/>
          <w:lang w:eastAsia="cs-CZ"/>
        </w:rPr>
        <w:t xml:space="preserve">sto tisíc korun českých). Příjemce je povinen na tento účel vynaložit nejméně </w:t>
      </w:r>
      <w:r w:rsidRPr="002A7530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2A753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A753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2A7530">
        <w:rPr>
          <w:rFonts w:ascii="Arial" w:hAnsi="Arial" w:cs="Arial"/>
          <w:b/>
          <w:sz w:val="24"/>
          <w:szCs w:val="24"/>
        </w:rPr>
        <w:t>50</w:t>
      </w:r>
      <w:r w:rsidRPr="002A7530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93EAD81" w14:textId="551A1FBC" w:rsidR="002A7530" w:rsidRPr="002A7530" w:rsidRDefault="002A7530" w:rsidP="002A7530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</w:t>
      </w:r>
      <w:r w:rsidRPr="002A753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D409E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2798ECA" w14:textId="12498D55" w:rsidR="002A7530" w:rsidRPr="002A7530" w:rsidRDefault="002A7530" w:rsidP="002A7530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785CB6E4" w14:textId="2E8B5970" w:rsidR="002A7530" w:rsidRDefault="002A7530" w:rsidP="001C68C1">
      <w:pPr>
        <w:pStyle w:val="Odstavecseseznamem"/>
        <w:numPr>
          <w:ilvl w:val="0"/>
          <w:numId w:val="6"/>
        </w:numPr>
        <w:tabs>
          <w:tab w:val="left" w:pos="8100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4. nově zní:</w:t>
      </w:r>
    </w:p>
    <w:p w14:paraId="0D861992" w14:textId="77777777" w:rsidR="00F14A19" w:rsidRPr="003E0167" w:rsidRDefault="00F14A19" w:rsidP="00F14A1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30. 4. 2024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</w:t>
      </w:r>
      <w:r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C8FB86C" w14:textId="77777777" w:rsidR="00F14A19" w:rsidRPr="003E0167" w:rsidRDefault="00F14A19" w:rsidP="00F14A19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0A304E3" w14:textId="77777777" w:rsidR="00F14A19" w:rsidRPr="002A7530" w:rsidRDefault="00F14A19" w:rsidP="00F14A19">
      <w:pPr>
        <w:pStyle w:val="Odstavecseseznamem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     na niž byla poskytnuta dotace dle této smlouvy, a to v rozsahu uvedeném ve vzoru vyúčtování dotace, který je zveřejněn v systému RAP. </w:t>
      </w:r>
      <w:r w:rsidRPr="002A7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A7530">
        <w:rPr>
          <w:rFonts w:ascii="Arial" w:hAnsi="Arial" w:cs="Arial"/>
          <w:sz w:val="24"/>
          <w:szCs w:val="24"/>
        </w:rPr>
        <w:t>příjmy uvedené v odst. 10.</w:t>
      </w:r>
      <w:r w:rsidRPr="002A7530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Pr="002A7530">
        <w:rPr>
          <w:rFonts w:ascii="Arial" w:hAnsi="Arial" w:cs="Arial"/>
          <w:sz w:val="24"/>
          <w:szCs w:val="24"/>
        </w:rPr>
        <w:t>Pravidel.</w:t>
      </w:r>
    </w:p>
    <w:p w14:paraId="68FF69D4" w14:textId="77777777" w:rsidR="00F14A19" w:rsidRPr="002A7530" w:rsidRDefault="00F14A19" w:rsidP="00F14A19">
      <w:pPr>
        <w:pStyle w:val="Odstavecseseznamem"/>
        <w:numPr>
          <w:ilvl w:val="1"/>
          <w:numId w:val="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</w:t>
      </w:r>
      <w:r w:rsidRPr="002A7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298BE367" w14:textId="77777777" w:rsidR="00F14A19" w:rsidRPr="002A7530" w:rsidRDefault="00F14A19" w:rsidP="00F14A19">
      <w:pPr>
        <w:pStyle w:val="Odstavecseseznamem"/>
        <w:numPr>
          <w:ilvl w:val="1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7530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769FA3C8" w14:textId="77777777" w:rsidR="00F14A19" w:rsidRPr="003E0167" w:rsidRDefault="00F14A19" w:rsidP="00F14A19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55B26CA" w14:textId="77777777" w:rsidR="00F14A19" w:rsidRPr="003E0167" w:rsidRDefault="00F14A19" w:rsidP="00F14A19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4EC0C64" w14:textId="77777777" w:rsidR="00F14A19" w:rsidRPr="003E0167" w:rsidRDefault="00F14A19" w:rsidP="00F14A19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A43F95" w14:textId="77777777" w:rsidR="00F14A19" w:rsidRPr="00034E8C" w:rsidRDefault="00F14A19" w:rsidP="00F14A19">
      <w:pPr>
        <w:pStyle w:val="Odstavecseseznamem"/>
        <w:spacing w:before="120"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elektronicky dodáním do datové schránky poskytovatele nebo v listinné podobě doručením na adresu poskytovatele, uvedenou v záhlaví této smlouvy. </w:t>
      </w:r>
    </w:p>
    <w:p w14:paraId="28A2D76A" w14:textId="364DBCC9" w:rsidR="00F14A19" w:rsidRDefault="00F14A19" w:rsidP="00C322B2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popis a zhodnocení </w:t>
      </w:r>
      <w:r w:rsidR="0088127D">
        <w:rPr>
          <w:rFonts w:ascii="Arial" w:eastAsia="Times New Roman" w:hAnsi="Arial" w:cs="Arial"/>
          <w:sz w:val="24"/>
          <w:szCs w:val="24"/>
          <w:lang w:eastAsia="cs-CZ"/>
        </w:rPr>
        <w:t>akce</w:t>
      </w:r>
      <w:bookmarkStart w:id="0" w:name="_GoBack"/>
      <w:bookmarkEnd w:id="0"/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(včetně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výstupů projektu, pokud již budou známy, počet procesů, které byly díky systému sjednoceny a automatizovány vč. jejich seznamu, seznam dotčených subjektů, které systém využívají, aplikace, které mohou využít výměnu dat a díky kterým lze určit správnou diagnostiku a léčbu, 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apod.), fotod</w:t>
      </w:r>
      <w:r>
        <w:rPr>
          <w:rFonts w:ascii="Arial" w:eastAsia="Times New Roman" w:hAnsi="Arial" w:cs="Arial"/>
          <w:sz w:val="24"/>
          <w:szCs w:val="24"/>
          <w:lang w:eastAsia="cs-CZ"/>
        </w:rPr>
        <w:t>okumentaci z průběhu podporovaného projektu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, fotodokumentaci splnění povinné propagace poskytovatele a užití jeho loga dle čl. II odst. 10 této smlouvy vč. printscreenu webových stránek nebo sociálních sítí s logem Olomouckého kraje. Zpráva bude volnou formou v rozsahu max. 3 A4. V závěrečné zprávě bude uvedeno, která média a jakým způsobem konferenci pr</w:t>
      </w:r>
      <w:r>
        <w:rPr>
          <w:rFonts w:ascii="Arial" w:eastAsia="Times New Roman" w:hAnsi="Arial" w:cs="Arial"/>
          <w:sz w:val="24"/>
          <w:szCs w:val="24"/>
          <w:lang w:eastAsia="cs-CZ"/>
        </w:rPr>
        <w:t>opagovala, odkazy na propagace.“</w:t>
      </w:r>
    </w:p>
    <w:p w14:paraId="42B82FBD" w14:textId="77777777" w:rsidR="00C322B2" w:rsidRPr="00F14A19" w:rsidRDefault="00C322B2" w:rsidP="00C322B2">
      <w:pPr>
        <w:pStyle w:val="Odstavecseseznamem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059BA9" w14:textId="05C09ACD" w:rsidR="00F14A19" w:rsidRDefault="00F14A19" w:rsidP="001C68C1">
      <w:pPr>
        <w:pStyle w:val="Odstavecseseznamem"/>
        <w:numPr>
          <w:ilvl w:val="0"/>
          <w:numId w:val="6"/>
        </w:numPr>
        <w:tabs>
          <w:tab w:val="left" w:pos="8100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8. nově zní:</w:t>
      </w:r>
    </w:p>
    <w:p w14:paraId="5D8AC4DE" w14:textId="77777777" w:rsidR="00C322B2" w:rsidRDefault="00C322B2" w:rsidP="00C322B2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8FF6FA2" w14:textId="0A905147" w:rsidR="00F14A19" w:rsidRDefault="00C322B2" w:rsidP="00C322B2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22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je příjemce dle této smlouvy povinen vrátit dotaci nebo její část, vrátí příjemce dotaci nebo její část v roce, kdy obdržel dotaci (2023) na účet poskytovatele č. 27-4228330207/0100. V případě, že je vratka realizována následující rok (2024) pak se použije příjmový účet č. 27-4228320287/0100. Případný odvod či penále se hradí na účet poskytovatele č. 27-4228320287/0100.</w:t>
      </w:r>
    </w:p>
    <w:p w14:paraId="467BBB0A" w14:textId="77777777" w:rsidR="000D409E" w:rsidRPr="000D409E" w:rsidRDefault="000D409E" w:rsidP="000D409E">
      <w:pPr>
        <w:pStyle w:val="Odstavecseseznamem"/>
        <w:spacing w:before="120"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54250529" w14:textId="77777777" w:rsidR="000D409E" w:rsidRPr="00DA672E" w:rsidRDefault="000D409E" w:rsidP="00F14A19">
      <w:pPr>
        <w:pStyle w:val="Odstavecseseznamem"/>
        <w:numPr>
          <w:ilvl w:val="0"/>
          <w:numId w:val="8"/>
        </w:numPr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672E">
        <w:rPr>
          <w:rFonts w:ascii="Arial" w:eastAsia="Times New Roman" w:hAnsi="Arial" w:cs="Arial"/>
          <w:iCs/>
          <w:sz w:val="24"/>
          <w:szCs w:val="24"/>
          <w:lang w:eastAsia="cs-CZ"/>
        </w:rPr>
        <w:t>Čl. II. odst. 10. nově zní:</w:t>
      </w:r>
    </w:p>
    <w:p w14:paraId="0483C1AB" w14:textId="77777777" w:rsidR="000D409E" w:rsidRDefault="000D409E" w:rsidP="000D409E">
      <w:pPr>
        <w:pStyle w:val="Odstavecseseznamem"/>
        <w:spacing w:after="120"/>
        <w:ind w:left="39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A36094" w14:textId="79F25FC3" w:rsidR="000D409E" w:rsidRPr="00240F37" w:rsidRDefault="000D409E" w:rsidP="00F14A19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240F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od </w:t>
      </w:r>
      <w:r w:rsidR="004D0896">
        <w:rPr>
          <w:rFonts w:ascii="Arial" w:eastAsia="Times New Roman" w:hAnsi="Arial" w:cs="Arial"/>
          <w:sz w:val="24"/>
          <w:szCs w:val="24"/>
          <w:lang w:eastAsia="cs-CZ"/>
        </w:rPr>
        <w:t>uzavření</w:t>
      </w:r>
      <w:r w:rsidRPr="00240F37">
        <w:rPr>
          <w:rFonts w:ascii="Arial" w:eastAsia="Times New Roman" w:hAnsi="Arial" w:cs="Arial"/>
          <w:sz w:val="24"/>
          <w:szCs w:val="24"/>
          <w:lang w:eastAsia="cs-CZ"/>
        </w:rPr>
        <w:t xml:space="preserve"> smlouvy </w:t>
      </w:r>
      <w:r w:rsidR="004D0896">
        <w:rPr>
          <w:rFonts w:ascii="Arial" w:eastAsia="Times New Roman" w:hAnsi="Arial" w:cs="Arial"/>
          <w:sz w:val="24"/>
          <w:szCs w:val="24"/>
          <w:lang w:eastAsia="cs-CZ"/>
        </w:rPr>
        <w:t>nejméně do 31. 10. 2024</w:t>
      </w:r>
      <w:r w:rsidRPr="00240F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240F3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 k účelu dotace, logem poskytovatele (jsou-li vydávány) a umístit reklamní panel nebo obdobné zařízení, s logem poskytovatele do místa, ve kterém je realizována podpořená akce, po dobu konání akce</w:t>
      </w:r>
      <w:r w:rsidRPr="00240F3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C03691F" w14:textId="2BE16FA0" w:rsidR="002A7530" w:rsidRPr="003E0167" w:rsidRDefault="000D409E" w:rsidP="00F14A1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ropagaci poskytovatele při akci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podporované dle této smlouvy. Povinně pořízená fotodokumentace (minimálně dvě fotografie dokladující propagaci poskytovatele na viditelném veřejně přístupném místě) musí být poskytovateli příjemcem předlože</w:t>
      </w:r>
      <w:r>
        <w:rPr>
          <w:rFonts w:ascii="Arial" w:eastAsia="Times New Roman" w:hAnsi="Arial" w:cs="Arial"/>
          <w:sz w:val="24"/>
          <w:szCs w:val="24"/>
          <w:lang w:eastAsia="cs-CZ"/>
        </w:rPr>
        <w:t>na společně se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  <w:r w:rsidR="004D0896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33C37ADB" w14:textId="77777777" w:rsidR="002A7530" w:rsidRDefault="002A7530" w:rsidP="002A7530">
      <w:pPr>
        <w:spacing w:after="120"/>
        <w:ind w:left="567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44E8D86C" w:rsidR="009A3DA5" w:rsidRPr="00957345" w:rsidRDefault="009A3DA5" w:rsidP="002A7530">
      <w:pPr>
        <w:spacing w:after="120"/>
        <w:ind w:left="567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11727031" w:rsidR="00CB0607" w:rsidRDefault="00CB0607" w:rsidP="00F14A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AB7BF8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0896">
        <w:rPr>
          <w:rFonts w:ascii="Arial" w:eastAsia="Times New Roman" w:hAnsi="Arial" w:cs="Arial"/>
          <w:sz w:val="24"/>
          <w:szCs w:val="24"/>
          <w:lang w:eastAsia="cs-CZ"/>
        </w:rPr>
        <w:t>11. 12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AB7BF8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4D089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4D089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D089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D089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4D089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D8A80AE" w14:textId="4A5E83E6" w:rsidR="004436F0" w:rsidRPr="004D0896" w:rsidRDefault="004C50AD" w:rsidP="004D089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DBD4" w14:textId="77777777" w:rsidR="00D327D9" w:rsidRDefault="00D327D9" w:rsidP="00D40C40">
      <w:r>
        <w:separator/>
      </w:r>
    </w:p>
  </w:endnote>
  <w:endnote w:type="continuationSeparator" w:id="0">
    <w:p w14:paraId="1A2EDD06" w14:textId="77777777" w:rsidR="00D327D9" w:rsidRDefault="00D327D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C02A" w14:textId="2A65CD2F" w:rsidR="0008450F" w:rsidRPr="005D78B7" w:rsidRDefault="0008450F" w:rsidP="0008450F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11. 12. 2023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B8248C">
      <w:rPr>
        <w:rFonts w:ascii="Arial" w:hAnsi="Arial" w:cs="Arial"/>
        <w:i/>
        <w:sz w:val="20"/>
        <w:szCs w:val="20"/>
      </w:rPr>
      <w:t xml:space="preserve">Strana </w:t>
    </w:r>
    <w:r w:rsidRPr="00B8248C">
      <w:rPr>
        <w:rFonts w:ascii="Arial" w:hAnsi="Arial" w:cs="Arial"/>
        <w:i/>
        <w:sz w:val="20"/>
        <w:szCs w:val="20"/>
      </w:rPr>
      <w:fldChar w:fldCharType="begin"/>
    </w:r>
    <w:r w:rsidRPr="00B8248C">
      <w:rPr>
        <w:rFonts w:ascii="Arial" w:hAnsi="Arial" w:cs="Arial"/>
        <w:i/>
        <w:sz w:val="20"/>
        <w:szCs w:val="20"/>
      </w:rPr>
      <w:instrText xml:space="preserve"> PAGE </w:instrText>
    </w:r>
    <w:r w:rsidRPr="00B8248C">
      <w:rPr>
        <w:rFonts w:ascii="Arial" w:hAnsi="Arial" w:cs="Arial"/>
        <w:i/>
        <w:sz w:val="20"/>
        <w:szCs w:val="20"/>
      </w:rPr>
      <w:fldChar w:fldCharType="separate"/>
    </w:r>
    <w:r w:rsidR="0088127D">
      <w:rPr>
        <w:rFonts w:ascii="Arial" w:hAnsi="Arial" w:cs="Arial"/>
        <w:i/>
        <w:noProof/>
        <w:sz w:val="20"/>
        <w:szCs w:val="20"/>
      </w:rPr>
      <w:t>4</w:t>
    </w:r>
    <w:r w:rsidRPr="00B8248C">
      <w:rPr>
        <w:rFonts w:ascii="Arial" w:hAnsi="Arial" w:cs="Arial"/>
        <w:i/>
        <w:sz w:val="20"/>
        <w:szCs w:val="20"/>
      </w:rPr>
      <w:fldChar w:fldCharType="end"/>
    </w:r>
    <w:r w:rsidRPr="00B8248C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4</w:t>
    </w:r>
    <w:r w:rsidRPr="00B8248C">
      <w:rPr>
        <w:rFonts w:ascii="Arial" w:hAnsi="Arial" w:cs="Arial"/>
        <w:i/>
        <w:sz w:val="20"/>
        <w:szCs w:val="20"/>
      </w:rPr>
      <w:t>)</w:t>
    </w:r>
  </w:p>
  <w:p w14:paraId="0787E660" w14:textId="3E13D2D1" w:rsidR="0008450F" w:rsidRPr="005D78B7" w:rsidRDefault="00C66960" w:rsidP="0008450F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88</w:t>
    </w:r>
    <w:r w:rsidR="0008450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08450F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08450F" w:rsidRPr="000D409E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Smart region Olomoucký kraj 2023 - žádost příjemce  </w:t>
    </w:r>
  </w:p>
  <w:p w14:paraId="378DA7E2" w14:textId="1988AB3D" w:rsidR="00D007DC" w:rsidRPr="0008450F" w:rsidRDefault="0008450F" w:rsidP="0008450F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programové 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dotace mezi Olomouckým krajem a </w:t>
    </w:r>
    <w:r>
      <w:rPr>
        <w:rFonts w:ascii="Arial" w:eastAsia="Times New Roman" w:hAnsi="Arial" w:cs="Arial"/>
        <w:i/>
        <w:sz w:val="20"/>
        <w:szCs w:val="20"/>
        <w:lang w:eastAsia="cs-CZ"/>
      </w:rPr>
      <w:t>Fakultní nemocnicí Olomouc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6834" w14:textId="77777777" w:rsidR="00D327D9" w:rsidRDefault="00D327D9" w:rsidP="00D40C40">
      <w:r>
        <w:separator/>
      </w:r>
    </w:p>
  </w:footnote>
  <w:footnote w:type="continuationSeparator" w:id="0">
    <w:p w14:paraId="6B020F85" w14:textId="77777777" w:rsidR="00D327D9" w:rsidRDefault="00D327D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50F5" w14:textId="1D6F33F5" w:rsidR="00FD6578" w:rsidRPr="00AD7C4F" w:rsidRDefault="00FD6578" w:rsidP="00385A9C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4"/>
        <w:szCs w:val="24"/>
        <w:lang w:eastAsia="cs-CZ"/>
      </w:rPr>
    </w:pPr>
    <w:r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>Usnesení_</w:t>
    </w:r>
    <w:r w:rsidR="00385A9C"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>p</w:t>
    </w:r>
    <w:r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říloha č. 02 – Dodatek č. 1 k veřejnoprávní smlouvě o poskytnutí dotace mezi </w:t>
    </w:r>
    <w:r w:rsidR="00385A9C"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>O</w:t>
    </w:r>
    <w:r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lomouckým krajem a </w:t>
    </w:r>
    <w:r w:rsidR="000064C7"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>Faku</w:t>
    </w:r>
    <w:r w:rsidR="00AD7C4F">
      <w:rPr>
        <w:rFonts w:ascii="Arial" w:eastAsia="Times New Roman" w:hAnsi="Arial" w:cs="Arial"/>
        <w:bCs/>
        <w:i/>
        <w:sz w:val="24"/>
        <w:szCs w:val="24"/>
        <w:lang w:eastAsia="cs-CZ"/>
      </w:rPr>
      <w:t>lt</w:t>
    </w:r>
    <w:r w:rsidR="000064C7" w:rsidRPr="00AD7C4F">
      <w:rPr>
        <w:rFonts w:ascii="Arial" w:eastAsia="Times New Roman" w:hAnsi="Arial" w:cs="Arial"/>
        <w:bCs/>
        <w:i/>
        <w:sz w:val="24"/>
        <w:szCs w:val="24"/>
        <w:lang w:eastAsia="cs-CZ"/>
      </w:rPr>
      <w:t>ní nemocnicí Olomouc</w:t>
    </w:r>
  </w:p>
  <w:p w14:paraId="6D41E84D" w14:textId="77777777" w:rsidR="00FD6578" w:rsidRDefault="00FD6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AA252BA"/>
    <w:multiLevelType w:val="multilevel"/>
    <w:tmpl w:val="AA12E7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8AE1F57"/>
    <w:multiLevelType w:val="hybridMultilevel"/>
    <w:tmpl w:val="BBB23614"/>
    <w:lvl w:ilvl="0" w:tplc="243C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7680D"/>
    <w:multiLevelType w:val="multilevel"/>
    <w:tmpl w:val="3490D9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4C7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0F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6F97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09E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68C1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530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4CA9"/>
    <w:rsid w:val="003856D8"/>
    <w:rsid w:val="003857D9"/>
    <w:rsid w:val="00385A9C"/>
    <w:rsid w:val="00386B1E"/>
    <w:rsid w:val="00387077"/>
    <w:rsid w:val="0038760B"/>
    <w:rsid w:val="00387D5A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465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896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808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213F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8D7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43F3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127D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CBF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8F6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A718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BF8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D7C4F"/>
    <w:rsid w:val="00AE18C4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2B2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66960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27D9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C2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5F3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869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4A19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3D6A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9E9C-5E8F-44CF-8553-07C8D447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Paličková Markéta</cp:lastModifiedBy>
  <cp:revision>4</cp:revision>
  <cp:lastPrinted>2023-09-01T11:56:00Z</cp:lastPrinted>
  <dcterms:created xsi:type="dcterms:W3CDTF">2023-11-29T13:25:00Z</dcterms:created>
  <dcterms:modified xsi:type="dcterms:W3CDTF">2023-12-05T04:58:00Z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