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879F7D" w14:textId="77777777" w:rsidR="0040389C" w:rsidRPr="00081796" w:rsidRDefault="00081796">
      <w:pPr>
        <w:rPr>
          <w:rFonts w:ascii="Arial" w:hAnsi="Arial" w:cs="Arial"/>
          <w:sz w:val="24"/>
          <w:szCs w:val="24"/>
        </w:rPr>
      </w:pPr>
      <w:r w:rsidRPr="00081796">
        <w:rPr>
          <w:rFonts w:ascii="Arial" w:hAnsi="Arial" w:cs="Arial"/>
          <w:sz w:val="24"/>
          <w:szCs w:val="24"/>
        </w:rPr>
        <w:t>Způsob podání žádosti:</w:t>
      </w:r>
    </w:p>
    <w:p w14:paraId="64FE68BB" w14:textId="77777777" w:rsidR="00081796" w:rsidRPr="00C524B5" w:rsidRDefault="00081796">
      <w:pPr>
        <w:rPr>
          <w:rFonts w:ascii="Arial" w:hAnsi="Arial" w:cs="Arial"/>
          <w:b/>
          <w:sz w:val="24"/>
          <w:szCs w:val="24"/>
        </w:rPr>
      </w:pPr>
      <w:r w:rsidRPr="00C524B5">
        <w:rPr>
          <w:rFonts w:ascii="Arial" w:hAnsi="Arial" w:cs="Arial"/>
          <w:b/>
          <w:sz w:val="24"/>
          <w:szCs w:val="24"/>
        </w:rPr>
        <w:t xml:space="preserve">Podání žádosti </w:t>
      </w:r>
    </w:p>
    <w:p w14:paraId="0F04C479" w14:textId="14E4D160" w:rsidR="00C524B5" w:rsidRPr="00C524B5" w:rsidRDefault="00081796" w:rsidP="00081796">
      <w:pPr>
        <w:jc w:val="both"/>
        <w:rPr>
          <w:rFonts w:ascii="Arial" w:hAnsi="Arial" w:cs="Arial"/>
          <w:b/>
          <w:sz w:val="24"/>
          <w:szCs w:val="24"/>
        </w:rPr>
      </w:pPr>
      <w:r w:rsidRPr="00C524B5">
        <w:rPr>
          <w:rFonts w:ascii="Arial" w:hAnsi="Arial" w:cs="Arial"/>
          <w:b/>
          <w:sz w:val="24"/>
          <w:szCs w:val="24"/>
        </w:rPr>
        <w:t xml:space="preserve">Žádost se vyplňuje a odesílá elektronicky na předepsaném formuláři v systému RAP (Rozhraní pro občany </w:t>
      </w:r>
      <w:hyperlink r:id="rId4" w:history="1">
        <w:r w:rsidRPr="00C524B5">
          <w:rPr>
            <w:rStyle w:val="Hypertextovodkaz"/>
            <w:rFonts w:ascii="Arial" w:hAnsi="Arial" w:cs="Arial"/>
            <w:b/>
            <w:color w:val="004679"/>
            <w:shd w:val="clear" w:color="auto" w:fill="FFFFFF"/>
          </w:rPr>
          <w:t>https://www.olkraj.cz/portal/</w:t>
        </w:r>
      </w:hyperlink>
      <w:r w:rsidRPr="00C524B5">
        <w:rPr>
          <w:b/>
        </w:rPr>
        <w:t xml:space="preserve"> </w:t>
      </w:r>
      <w:r w:rsidR="002E4D56">
        <w:rPr>
          <w:rFonts w:ascii="Arial" w:hAnsi="Arial" w:cs="Arial"/>
          <w:b/>
          <w:sz w:val="24"/>
          <w:szCs w:val="24"/>
        </w:rPr>
        <w:t>) od 1</w:t>
      </w:r>
      <w:r w:rsidR="008C0C14">
        <w:rPr>
          <w:rFonts w:ascii="Arial" w:hAnsi="Arial" w:cs="Arial"/>
          <w:b/>
          <w:sz w:val="24"/>
          <w:szCs w:val="24"/>
        </w:rPr>
        <w:t>7</w:t>
      </w:r>
      <w:r w:rsidRPr="00C524B5">
        <w:rPr>
          <w:rFonts w:ascii="Arial" w:hAnsi="Arial" w:cs="Arial"/>
          <w:b/>
          <w:sz w:val="24"/>
          <w:szCs w:val="24"/>
        </w:rPr>
        <w:t xml:space="preserve">. 1. do </w:t>
      </w:r>
      <w:r w:rsidR="002E4D56">
        <w:rPr>
          <w:rFonts w:ascii="Arial" w:hAnsi="Arial" w:cs="Arial"/>
          <w:b/>
          <w:sz w:val="24"/>
          <w:szCs w:val="24"/>
        </w:rPr>
        <w:t>31. 1. 202</w:t>
      </w:r>
      <w:r w:rsidR="008C0C14">
        <w:rPr>
          <w:rFonts w:ascii="Arial" w:hAnsi="Arial" w:cs="Arial"/>
          <w:b/>
          <w:sz w:val="24"/>
          <w:szCs w:val="24"/>
        </w:rPr>
        <w:t>5</w:t>
      </w:r>
      <w:r w:rsidRPr="00C524B5">
        <w:rPr>
          <w:rFonts w:ascii="Arial" w:hAnsi="Arial" w:cs="Arial"/>
          <w:b/>
          <w:sz w:val="24"/>
          <w:szCs w:val="24"/>
        </w:rPr>
        <w:t xml:space="preserve"> a to nejpozději do 12:00 hodin</w:t>
      </w:r>
      <w:r w:rsidR="00C524B5" w:rsidRPr="00C524B5">
        <w:rPr>
          <w:rFonts w:ascii="Arial" w:hAnsi="Arial" w:cs="Arial"/>
          <w:b/>
          <w:sz w:val="24"/>
          <w:szCs w:val="24"/>
        </w:rPr>
        <w:t>.</w:t>
      </w:r>
      <w:r w:rsidRPr="00C524B5">
        <w:rPr>
          <w:rFonts w:ascii="Arial" w:hAnsi="Arial" w:cs="Arial"/>
          <w:b/>
          <w:sz w:val="24"/>
          <w:szCs w:val="24"/>
        </w:rPr>
        <w:t xml:space="preserve"> </w:t>
      </w:r>
    </w:p>
    <w:p w14:paraId="44F21712" w14:textId="77777777" w:rsidR="00C524B5" w:rsidRDefault="00C524B5" w:rsidP="00B8641B">
      <w:pPr>
        <w:jc w:val="both"/>
        <w:rPr>
          <w:rFonts w:ascii="Arial" w:hAnsi="Arial" w:cs="Arial"/>
          <w:sz w:val="24"/>
          <w:szCs w:val="24"/>
        </w:rPr>
      </w:pPr>
    </w:p>
    <w:p w14:paraId="166BE176" w14:textId="77777777" w:rsidR="00081796" w:rsidRPr="00C524B5" w:rsidRDefault="00081796" w:rsidP="00081796">
      <w:pPr>
        <w:jc w:val="both"/>
        <w:rPr>
          <w:rFonts w:ascii="Arial" w:hAnsi="Arial" w:cs="Arial"/>
          <w:b/>
          <w:sz w:val="24"/>
          <w:szCs w:val="24"/>
        </w:rPr>
      </w:pPr>
      <w:r w:rsidRPr="00C524B5">
        <w:rPr>
          <w:rFonts w:ascii="Arial" w:hAnsi="Arial" w:cs="Arial"/>
          <w:b/>
          <w:sz w:val="24"/>
          <w:szCs w:val="24"/>
        </w:rPr>
        <w:t>Doručení žádosti</w:t>
      </w:r>
    </w:p>
    <w:p w14:paraId="43B53021" w14:textId="5F630283" w:rsidR="00B8641B" w:rsidRDefault="00081796" w:rsidP="00B8641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pro obce </w:t>
      </w:r>
      <w:r w:rsidR="00C524B5">
        <w:rPr>
          <w:rFonts w:ascii="Arial" w:hAnsi="Arial" w:cs="Arial"/>
          <w:sz w:val="24"/>
          <w:szCs w:val="24"/>
        </w:rPr>
        <w:t xml:space="preserve">jediný </w:t>
      </w:r>
      <w:r>
        <w:rPr>
          <w:rFonts w:ascii="Arial" w:hAnsi="Arial" w:cs="Arial"/>
          <w:sz w:val="24"/>
          <w:szCs w:val="24"/>
        </w:rPr>
        <w:t xml:space="preserve">možný způsob doručení žádosti </w:t>
      </w:r>
      <w:r w:rsidR="00EB632B">
        <w:rPr>
          <w:rFonts w:ascii="Arial" w:hAnsi="Arial" w:cs="Arial"/>
          <w:sz w:val="24"/>
          <w:szCs w:val="24"/>
        </w:rPr>
        <w:t xml:space="preserve">je </w:t>
      </w:r>
      <w:r>
        <w:rPr>
          <w:rFonts w:ascii="Arial" w:hAnsi="Arial" w:cs="Arial"/>
          <w:sz w:val="24"/>
          <w:szCs w:val="24"/>
        </w:rPr>
        <w:t xml:space="preserve">pouze datovou schránkou </w:t>
      </w:r>
      <w:r w:rsidRPr="00924711">
        <w:rPr>
          <w:rFonts w:ascii="Arial" w:hAnsi="Arial" w:cs="Arial"/>
          <w:sz w:val="24"/>
          <w:szCs w:val="24"/>
          <w:u w:val="single"/>
        </w:rPr>
        <w:t xml:space="preserve">podepsanou </w:t>
      </w:r>
      <w:r w:rsidR="00C524B5" w:rsidRPr="00924711">
        <w:rPr>
          <w:rFonts w:ascii="Arial" w:hAnsi="Arial" w:cs="Arial"/>
          <w:sz w:val="24"/>
          <w:szCs w:val="24"/>
          <w:u w:val="single"/>
        </w:rPr>
        <w:t xml:space="preserve">kvalifikovaným podpisem a časovým razítkem </w:t>
      </w:r>
      <w:r w:rsidRPr="00924711">
        <w:rPr>
          <w:rFonts w:ascii="Arial" w:hAnsi="Arial" w:cs="Arial"/>
          <w:sz w:val="24"/>
          <w:szCs w:val="24"/>
          <w:u w:val="single"/>
        </w:rPr>
        <w:t>statutární</w:t>
      </w:r>
      <w:r w:rsidR="00C524B5" w:rsidRPr="00924711">
        <w:rPr>
          <w:rFonts w:ascii="Arial" w:hAnsi="Arial" w:cs="Arial"/>
          <w:sz w:val="24"/>
          <w:szCs w:val="24"/>
          <w:u w:val="single"/>
        </w:rPr>
        <w:t>m</w:t>
      </w:r>
      <w:r w:rsidRPr="00924711">
        <w:rPr>
          <w:rFonts w:ascii="Arial" w:hAnsi="Arial" w:cs="Arial"/>
          <w:sz w:val="24"/>
          <w:szCs w:val="24"/>
          <w:u w:val="single"/>
        </w:rPr>
        <w:t xml:space="preserve"> </w:t>
      </w:r>
      <w:proofErr w:type="gramStart"/>
      <w:r w:rsidRPr="00924711">
        <w:rPr>
          <w:rFonts w:ascii="Arial" w:hAnsi="Arial" w:cs="Arial"/>
          <w:sz w:val="24"/>
          <w:szCs w:val="24"/>
          <w:u w:val="single"/>
        </w:rPr>
        <w:t>zástupcem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 w:rsidR="00C524B5">
        <w:rPr>
          <w:rFonts w:ascii="Arial" w:hAnsi="Arial" w:cs="Arial"/>
          <w:sz w:val="24"/>
          <w:szCs w:val="24"/>
        </w:rPr>
        <w:t xml:space="preserve">a to v termínu od </w:t>
      </w:r>
      <w:r w:rsidR="002E4D56" w:rsidRPr="002E4D56">
        <w:rPr>
          <w:rFonts w:ascii="Arial" w:hAnsi="Arial" w:cs="Arial"/>
          <w:sz w:val="24"/>
          <w:szCs w:val="24"/>
        </w:rPr>
        <w:t>1</w:t>
      </w:r>
      <w:r w:rsidR="008C0C14">
        <w:rPr>
          <w:rFonts w:ascii="Arial" w:hAnsi="Arial" w:cs="Arial"/>
          <w:sz w:val="24"/>
          <w:szCs w:val="24"/>
        </w:rPr>
        <w:t>7</w:t>
      </w:r>
      <w:r w:rsidR="002E4D56" w:rsidRPr="002E4D56">
        <w:rPr>
          <w:rFonts w:ascii="Arial" w:hAnsi="Arial" w:cs="Arial"/>
          <w:sz w:val="24"/>
          <w:szCs w:val="24"/>
        </w:rPr>
        <w:t>. 1. do 31. 1. 202</w:t>
      </w:r>
      <w:r w:rsidR="008C0C14">
        <w:rPr>
          <w:rFonts w:ascii="Arial" w:hAnsi="Arial" w:cs="Arial"/>
          <w:sz w:val="24"/>
          <w:szCs w:val="24"/>
        </w:rPr>
        <w:t>5</w:t>
      </w:r>
      <w:r w:rsidR="00C524B5">
        <w:rPr>
          <w:rFonts w:ascii="Arial" w:hAnsi="Arial" w:cs="Arial"/>
          <w:sz w:val="24"/>
          <w:szCs w:val="24"/>
        </w:rPr>
        <w:t>.</w:t>
      </w:r>
    </w:p>
    <w:p w14:paraId="190427AD" w14:textId="77777777" w:rsidR="00B8641B" w:rsidRDefault="00B8641B" w:rsidP="00B8641B">
      <w:pPr>
        <w:rPr>
          <w:rFonts w:ascii="Arial" w:hAnsi="Arial" w:cs="Arial"/>
          <w:b/>
          <w:sz w:val="24"/>
          <w:szCs w:val="24"/>
        </w:rPr>
      </w:pPr>
    </w:p>
    <w:p w14:paraId="4F72C87A" w14:textId="486494F4" w:rsidR="00B8641B" w:rsidRPr="00B8641B" w:rsidRDefault="00B8641B" w:rsidP="00B8641B">
      <w:pPr>
        <w:rPr>
          <w:rFonts w:ascii="Arial" w:hAnsi="Arial" w:cs="Arial"/>
          <w:b/>
          <w:sz w:val="24"/>
          <w:szCs w:val="24"/>
        </w:rPr>
      </w:pPr>
      <w:r w:rsidRPr="00B8641B">
        <w:rPr>
          <w:rFonts w:ascii="Arial" w:hAnsi="Arial" w:cs="Arial"/>
          <w:b/>
          <w:sz w:val="24"/>
          <w:szCs w:val="24"/>
        </w:rPr>
        <w:t>Odkazy na podklady k dotačním titulům Programu na podporu JSDH 202</w:t>
      </w:r>
      <w:r w:rsidR="008C0C14">
        <w:rPr>
          <w:rFonts w:ascii="Arial" w:hAnsi="Arial" w:cs="Arial"/>
          <w:b/>
          <w:sz w:val="24"/>
          <w:szCs w:val="24"/>
        </w:rPr>
        <w:t>5</w:t>
      </w:r>
    </w:p>
    <w:p w14:paraId="0181C5BE" w14:textId="4D5264E0" w:rsidR="00B8641B" w:rsidRDefault="00B8641B" w:rsidP="00B8641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Dotační titul č. 13_02_01 – Dotace na pořízení, technické zhodnocení a opravu požární techniky, nákup věcného vybavení a zajištění akceschopnosti JSDH obcí Olomouckého kraje</w:t>
      </w:r>
    </w:p>
    <w:p w14:paraId="0E592485" w14:textId="4CA8A097" w:rsidR="00924711" w:rsidRDefault="008C0C14" w:rsidP="00B8641B">
      <w:hyperlink r:id="rId5" w:history="1">
        <w:r w:rsidRPr="002B6EA8">
          <w:rPr>
            <w:rStyle w:val="Hypertextovodkaz"/>
          </w:rPr>
          <w:t>https://www.olkraj.cz/dotace-granty-prispevky-krajske-dotacni-programy-2025/13-02-01-dotace-na-porizeni-technicke-zhodnoceni-a-opravu-pozarni-techniky-nakup-vecneho-vybaveni-a-zajisteni-akceschopnosti-jsdh-obci-olomouckeho-kraje-pri</w:t>
        </w:r>
        <w:r w:rsidRPr="002B6EA8">
          <w:rPr>
            <w:rStyle w:val="Hypertextovodkaz"/>
          </w:rPr>
          <w:t>j</w:t>
        </w:r>
        <w:r w:rsidRPr="002B6EA8">
          <w:rPr>
            <w:rStyle w:val="Hypertextovodkaz"/>
          </w:rPr>
          <w:t>em-zadosti-17-1-31-1-2025</w:t>
        </w:r>
      </w:hyperlink>
      <w:r>
        <w:t xml:space="preserve"> </w:t>
      </w:r>
    </w:p>
    <w:sectPr w:rsidR="009247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1796"/>
    <w:rsid w:val="00081796"/>
    <w:rsid w:val="002E4D56"/>
    <w:rsid w:val="00351B92"/>
    <w:rsid w:val="0040389C"/>
    <w:rsid w:val="008C0C14"/>
    <w:rsid w:val="00924711"/>
    <w:rsid w:val="00967DB0"/>
    <w:rsid w:val="00B8641B"/>
    <w:rsid w:val="00C524B5"/>
    <w:rsid w:val="00EB6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3386D3"/>
  <w15:chartTrackingRefBased/>
  <w15:docId w15:val="{54322CC2-D9AE-4DB4-8422-ED395E6D4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81796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8C0C14"/>
    <w:rPr>
      <w:color w:val="954F72" w:themeColor="followed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8C0C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56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olkraj.cz/dotace-granty-prispevky-krajske-dotacni-programy-2025/13-02-01-dotace-na-porizeni-technicke-zhodnoceni-a-opravu-pozarni-techniky-nakup-vecneho-vybaveni-a-zajisteni-akceschopnosti-jsdh-obci-olomouckeho-kraje-prijem-zadosti-17-1-31-1-2025" TargetMode="External"/><Relationship Id="rId4" Type="http://schemas.openxmlformats.org/officeDocument/2006/relationships/hyperlink" Target="https://www.olkraj.cz/portal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182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Procházková Blanka</dc:creator>
  <cp:keywords/>
  <dc:description/>
  <cp:lastModifiedBy>Procházková Blanka</cp:lastModifiedBy>
  <cp:revision>2</cp:revision>
  <dcterms:created xsi:type="dcterms:W3CDTF">2024-12-23T08:47:00Z</dcterms:created>
  <dcterms:modified xsi:type="dcterms:W3CDTF">2024-12-23T08:47:00Z</dcterms:modified>
</cp:coreProperties>
</file>