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617" w:rsidRPr="00DB7C3C" w:rsidRDefault="00DB7C3C" w:rsidP="00DB7C3C">
      <w:pPr>
        <w:jc w:val="center"/>
        <w:rPr>
          <w:b/>
          <w:sz w:val="44"/>
          <w:szCs w:val="44"/>
        </w:rPr>
      </w:pPr>
      <w:bookmarkStart w:id="0" w:name="_GoBack"/>
      <w:bookmarkEnd w:id="0"/>
      <w:r>
        <w:rPr>
          <w:b/>
          <w:sz w:val="44"/>
          <w:szCs w:val="44"/>
        </w:rPr>
        <w:t xml:space="preserve">DAŇOVÝ ŘÁD PO </w:t>
      </w:r>
      <w:r w:rsidRPr="00DB7C3C">
        <w:rPr>
          <w:b/>
          <w:sz w:val="44"/>
          <w:szCs w:val="44"/>
        </w:rPr>
        <w:t>NOVELE</w:t>
      </w:r>
      <w:r w:rsidR="00336F07">
        <w:rPr>
          <w:b/>
          <w:sz w:val="44"/>
          <w:szCs w:val="44"/>
        </w:rPr>
        <w:t xml:space="preserve"> </w:t>
      </w:r>
    </w:p>
    <w:p w:rsidR="004B1F19" w:rsidRDefault="004B1F19"/>
    <w:p w:rsidR="004B1F19" w:rsidRDefault="00336F07" w:rsidP="004B1F19">
      <w:pPr>
        <w:pStyle w:val="Odstavecseseznamem"/>
        <w:numPr>
          <w:ilvl w:val="0"/>
          <w:numId w:val="1"/>
        </w:numPr>
      </w:pPr>
      <w:r>
        <w:t xml:space="preserve">zákonem č. </w:t>
      </w:r>
      <w:r w:rsidR="004B1F19">
        <w:t>283/2020 Sb., kterým se mění zákon č. 280/2009 Sb., daňový řád, ve znění pozdějších předpisů a další související zákony</w:t>
      </w:r>
      <w:r w:rsidR="00DB7C3C">
        <w:t xml:space="preserve"> (účinnost od 1. 1. 2021)</w:t>
      </w:r>
    </w:p>
    <w:p w:rsidR="004B1F19" w:rsidRDefault="004B1F19" w:rsidP="004B1F19"/>
    <w:p w:rsidR="00DB7C3C" w:rsidRDefault="00DB7C3C" w:rsidP="004B1F19">
      <w:r>
        <w:t>Kromě modernizace a elektronizace daňového řízení</w:t>
      </w:r>
      <w:r w:rsidR="00B87CEF">
        <w:t>,</w:t>
      </w:r>
      <w:r>
        <w:t xml:space="preserve"> obsahuje </w:t>
      </w:r>
      <w:r w:rsidR="00B87CEF">
        <w:t xml:space="preserve">novela </w:t>
      </w:r>
      <w:r w:rsidR="004B1F19">
        <w:t xml:space="preserve">5 hlavních </w:t>
      </w:r>
      <w:r>
        <w:t>dotčených oblastí úpravy, které mají vliv na činnost správce daně, a to:</w:t>
      </w:r>
    </w:p>
    <w:p w:rsidR="004B1F19" w:rsidRDefault="00DB7C3C" w:rsidP="004B1F19">
      <w:r>
        <w:t xml:space="preserve">1) </w:t>
      </w:r>
      <w:r w:rsidR="004B1F19">
        <w:t>lhůta pro nařízení přezkoumání rozhodnutí</w:t>
      </w:r>
    </w:p>
    <w:p w:rsidR="004B1F19" w:rsidRDefault="00DB7C3C" w:rsidP="004B1F19">
      <w:r>
        <w:t xml:space="preserve">2) </w:t>
      </w:r>
      <w:r w:rsidR="004B1F19">
        <w:t>nedoplatky, přeplatky</w:t>
      </w:r>
    </w:p>
    <w:p w:rsidR="004B1F19" w:rsidRDefault="00DB7C3C" w:rsidP="004B1F19">
      <w:r>
        <w:t>3)</w:t>
      </w:r>
      <w:r w:rsidR="004B1F19">
        <w:t xml:space="preserve"> lhůta pro placení daně</w:t>
      </w:r>
    </w:p>
    <w:p w:rsidR="004B1F19" w:rsidRDefault="00DB7C3C" w:rsidP="004B1F19">
      <w:r>
        <w:t xml:space="preserve">4) </w:t>
      </w:r>
      <w:r w:rsidR="004B1F19">
        <w:t>námitka</w:t>
      </w:r>
    </w:p>
    <w:p w:rsidR="004B1F19" w:rsidRDefault="00DB7C3C" w:rsidP="004B1F19">
      <w:r>
        <w:t xml:space="preserve">5) </w:t>
      </w:r>
      <w:r w:rsidR="004B1F19">
        <w:t>daňová kontrola</w:t>
      </w:r>
    </w:p>
    <w:p w:rsidR="004B1F19" w:rsidRDefault="004B1F19" w:rsidP="004B1F19"/>
    <w:p w:rsidR="004B1F19" w:rsidRPr="00DB7C3C" w:rsidRDefault="004B1F19" w:rsidP="004B1F19">
      <w:pPr>
        <w:pStyle w:val="Odstavecseseznamem"/>
        <w:numPr>
          <w:ilvl w:val="0"/>
          <w:numId w:val="2"/>
        </w:numPr>
        <w:rPr>
          <w:b/>
          <w:sz w:val="28"/>
          <w:szCs w:val="28"/>
        </w:rPr>
      </w:pPr>
      <w:r w:rsidRPr="00DB7C3C">
        <w:rPr>
          <w:b/>
          <w:sz w:val="28"/>
          <w:szCs w:val="28"/>
        </w:rPr>
        <w:t>Lhůta pro nařízení přezkoumání rozhodnutí</w:t>
      </w:r>
    </w:p>
    <w:p w:rsidR="004B1F19" w:rsidRDefault="004B1F19" w:rsidP="004B1F19"/>
    <w:p w:rsidR="004B1F19" w:rsidRPr="005E027E" w:rsidRDefault="004B1F19" w:rsidP="004B1F19">
      <w:pPr>
        <w:rPr>
          <w:b/>
        </w:rPr>
      </w:pPr>
      <w:r w:rsidRPr="005E027E">
        <w:rPr>
          <w:b/>
        </w:rPr>
        <w:t xml:space="preserve">§ </w:t>
      </w:r>
      <w:r w:rsidR="004D4E26" w:rsidRPr="005E027E">
        <w:rPr>
          <w:b/>
        </w:rPr>
        <w:t>122 odst. 3</w:t>
      </w:r>
    </w:p>
    <w:p w:rsidR="004D4E26" w:rsidRPr="00DB6C2C" w:rsidRDefault="004D4E26" w:rsidP="004B1F19">
      <w:pPr>
        <w:rPr>
          <w:u w:val="single"/>
        </w:rPr>
      </w:pPr>
      <w:r w:rsidRPr="00DB6C2C">
        <w:rPr>
          <w:u w:val="single"/>
        </w:rPr>
        <w:t>Dříve:</w:t>
      </w:r>
    </w:p>
    <w:p w:rsidR="004D4E26" w:rsidRPr="002C3CBD" w:rsidRDefault="004D4E26" w:rsidP="002C3CBD">
      <w:pPr>
        <w:jc w:val="both"/>
        <w:rPr>
          <w:i/>
        </w:rPr>
      </w:pPr>
      <w:r w:rsidRPr="002C3CBD">
        <w:rPr>
          <w:i/>
        </w:rPr>
        <w:t xml:space="preserve">Přezkoumání rozhodnutí o stanovení daně lze nařídit, pokud neuplynula lhůta pro stanovení daně. Přezkoumání rozhodnutí vydaného v řízení při placení daní lze nařídit, pokud neuplynula lhůta pro placení daně. Přezkoumání jiného rozhodnutí lze nařídit do 3 let ode dne právní moci tohoto rozhodnutí. </w:t>
      </w:r>
    </w:p>
    <w:p w:rsidR="00564E0F" w:rsidRPr="00DB6C2C" w:rsidRDefault="00564E0F" w:rsidP="004B1F19">
      <w:pPr>
        <w:rPr>
          <w:u w:val="single"/>
        </w:rPr>
      </w:pPr>
      <w:r w:rsidRPr="00DB6C2C">
        <w:rPr>
          <w:u w:val="single"/>
        </w:rPr>
        <w:t>Nyní:</w:t>
      </w:r>
    </w:p>
    <w:tbl>
      <w:tblPr>
        <w:tblW w:w="0" w:type="auto"/>
        <w:tblCellSpacing w:w="0" w:type="dxa"/>
        <w:tblInd w:w="-284" w:type="dxa"/>
        <w:tblLayout w:type="fixed"/>
        <w:tblCellMar>
          <w:left w:w="0" w:type="dxa"/>
          <w:right w:w="0" w:type="dxa"/>
        </w:tblCellMar>
        <w:tblLook w:val="04A0" w:firstRow="1" w:lastRow="0" w:firstColumn="1" w:lastColumn="0" w:noHBand="0" w:noVBand="1"/>
      </w:tblPr>
      <w:tblGrid>
        <w:gridCol w:w="304"/>
        <w:gridCol w:w="9052"/>
      </w:tblGrid>
      <w:tr w:rsidR="004D4E26" w:rsidRPr="004D4E26" w:rsidTr="00564E0F">
        <w:trPr>
          <w:tblCellSpacing w:w="0" w:type="dxa"/>
        </w:trPr>
        <w:tc>
          <w:tcPr>
            <w:tcW w:w="304" w:type="dxa"/>
            <w:vAlign w:val="center"/>
            <w:hideMark/>
          </w:tcPr>
          <w:p w:rsidR="004D4E26" w:rsidRPr="004D4E26" w:rsidRDefault="004D4E26" w:rsidP="004D4E26">
            <w:pPr>
              <w:spacing w:after="0" w:line="240" w:lineRule="auto"/>
              <w:rPr>
                <w:rFonts w:ascii="Times New Roman" w:eastAsia="Times New Roman" w:hAnsi="Times New Roman" w:cs="Times New Roman"/>
                <w:lang w:eastAsia="cs-CZ"/>
              </w:rPr>
            </w:pPr>
          </w:p>
        </w:tc>
        <w:tc>
          <w:tcPr>
            <w:tcW w:w="9052" w:type="dxa"/>
            <w:vAlign w:val="center"/>
            <w:hideMark/>
          </w:tcPr>
          <w:p w:rsidR="004D4E26" w:rsidRPr="002C3CBD" w:rsidRDefault="004D4E26" w:rsidP="00DB6C2C">
            <w:p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Přezkoumání rozhodnutí lze nařídit, pokud neuplynula lhůta</w:t>
            </w:r>
          </w:p>
          <w:tbl>
            <w:tblPr>
              <w:tblW w:w="0" w:type="auto"/>
              <w:tblCellSpacing w:w="0" w:type="dxa"/>
              <w:tblLayout w:type="fixed"/>
              <w:tblCellMar>
                <w:left w:w="0" w:type="dxa"/>
                <w:right w:w="0" w:type="dxa"/>
              </w:tblCellMar>
              <w:tblLook w:val="04A0" w:firstRow="1" w:lastRow="0" w:firstColumn="1" w:lastColumn="0" w:noHBand="0" w:noVBand="1"/>
            </w:tblPr>
            <w:tblGrid>
              <w:gridCol w:w="183"/>
              <w:gridCol w:w="8632"/>
            </w:tblGrid>
            <w:tr w:rsidR="004D4E26" w:rsidRPr="004D4E26" w:rsidTr="00564E0F">
              <w:trPr>
                <w:tblCellSpacing w:w="0" w:type="dxa"/>
              </w:trPr>
              <w:tc>
                <w:tcPr>
                  <w:tcW w:w="183" w:type="dxa"/>
                  <w:vAlign w:val="center"/>
                  <w:hideMark/>
                </w:tcPr>
                <w:p w:rsidR="004D4E26" w:rsidRPr="002C3CBD" w:rsidRDefault="004D4E26" w:rsidP="00DB6C2C">
                  <w:pPr>
                    <w:spacing w:after="0" w:line="240" w:lineRule="auto"/>
                    <w:jc w:val="both"/>
                    <w:rPr>
                      <w:rFonts w:eastAsia="Times New Roman" w:cstheme="minorHAnsi"/>
                      <w:i/>
                      <w:lang w:eastAsia="cs-CZ"/>
                    </w:rPr>
                  </w:pPr>
                  <w:r w:rsidRPr="002C3CBD">
                    <w:rPr>
                      <w:rFonts w:eastAsia="Times New Roman" w:cstheme="minorHAnsi"/>
                      <w:i/>
                      <w:lang w:eastAsia="cs-CZ"/>
                    </w:rPr>
                    <w:t>a)</w:t>
                  </w:r>
                </w:p>
              </w:tc>
              <w:tc>
                <w:tcPr>
                  <w:tcW w:w="8632" w:type="dxa"/>
                  <w:vAlign w:val="center"/>
                  <w:hideMark/>
                </w:tcPr>
                <w:p w:rsidR="004D4E26" w:rsidRPr="002C3CBD" w:rsidRDefault="00564E0F" w:rsidP="00DB6C2C">
                  <w:p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 xml:space="preserve"> </w:t>
                  </w:r>
                  <w:r w:rsidR="004D4E26" w:rsidRPr="002C3CBD">
                    <w:rPr>
                      <w:rFonts w:eastAsia="Times New Roman" w:cstheme="minorHAnsi"/>
                      <w:i/>
                      <w:lang w:eastAsia="cs-CZ"/>
                    </w:rPr>
                    <w:t>pro stanovení daně, jde-li o rozhodnutí o stanovení daně,</w:t>
                  </w:r>
                </w:p>
              </w:tc>
            </w:tr>
            <w:tr w:rsidR="004D4E26" w:rsidRPr="004D4E26" w:rsidTr="00564E0F">
              <w:trPr>
                <w:tblCellSpacing w:w="0" w:type="dxa"/>
              </w:trPr>
              <w:tc>
                <w:tcPr>
                  <w:tcW w:w="183" w:type="dxa"/>
                  <w:vAlign w:val="center"/>
                  <w:hideMark/>
                </w:tcPr>
                <w:p w:rsidR="004D4E26" w:rsidRPr="002C3CBD" w:rsidRDefault="004D4E26" w:rsidP="00DB6C2C">
                  <w:pPr>
                    <w:spacing w:after="0" w:line="240" w:lineRule="auto"/>
                    <w:jc w:val="both"/>
                    <w:rPr>
                      <w:rFonts w:eastAsia="Times New Roman" w:cstheme="minorHAnsi"/>
                      <w:i/>
                      <w:lang w:eastAsia="cs-CZ"/>
                    </w:rPr>
                  </w:pPr>
                  <w:r w:rsidRPr="002C3CBD">
                    <w:rPr>
                      <w:rFonts w:eastAsia="Times New Roman" w:cstheme="minorHAnsi"/>
                      <w:i/>
                      <w:lang w:eastAsia="cs-CZ"/>
                    </w:rPr>
                    <w:t>b)</w:t>
                  </w:r>
                </w:p>
              </w:tc>
              <w:tc>
                <w:tcPr>
                  <w:tcW w:w="8632" w:type="dxa"/>
                  <w:vAlign w:val="center"/>
                  <w:hideMark/>
                </w:tcPr>
                <w:p w:rsidR="004D4E26" w:rsidRPr="002C3CBD" w:rsidRDefault="00564E0F" w:rsidP="00DB6C2C">
                  <w:p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 xml:space="preserve"> </w:t>
                  </w:r>
                  <w:r w:rsidR="004D4E26" w:rsidRPr="002C3CBD">
                    <w:rPr>
                      <w:rFonts w:eastAsia="Times New Roman" w:cstheme="minorHAnsi"/>
                      <w:i/>
                      <w:lang w:eastAsia="cs-CZ"/>
                    </w:rPr>
                    <w:t>pro placení daně, jde-li o rozhodnutí vydané v řízení při placení daní,</w:t>
                  </w:r>
                </w:p>
              </w:tc>
            </w:tr>
            <w:tr w:rsidR="004D4E26" w:rsidRPr="004D4E26" w:rsidTr="00564E0F">
              <w:trPr>
                <w:tblCellSpacing w:w="0" w:type="dxa"/>
              </w:trPr>
              <w:tc>
                <w:tcPr>
                  <w:tcW w:w="183" w:type="dxa"/>
                  <w:vAlign w:val="center"/>
                  <w:hideMark/>
                </w:tcPr>
                <w:p w:rsidR="004D4E26" w:rsidRPr="004D4E26" w:rsidRDefault="004D4E26" w:rsidP="00DB6C2C">
                  <w:pPr>
                    <w:spacing w:after="0" w:line="240" w:lineRule="auto"/>
                    <w:jc w:val="both"/>
                    <w:rPr>
                      <w:rFonts w:eastAsia="Times New Roman" w:cstheme="minorHAnsi"/>
                      <w:lang w:eastAsia="cs-CZ"/>
                    </w:rPr>
                  </w:pPr>
                </w:p>
              </w:tc>
              <w:tc>
                <w:tcPr>
                  <w:tcW w:w="8632" w:type="dxa"/>
                  <w:vAlign w:val="center"/>
                  <w:hideMark/>
                </w:tcPr>
                <w:p w:rsidR="004D4E26" w:rsidRPr="002C3CBD" w:rsidRDefault="00564E0F" w:rsidP="00DB6C2C">
                  <w:p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 xml:space="preserve">c) </w:t>
                  </w:r>
                  <w:r w:rsidR="004D4E26" w:rsidRPr="002C3CBD">
                    <w:rPr>
                      <w:rFonts w:eastAsia="Times New Roman" w:cstheme="minorHAnsi"/>
                      <w:i/>
                      <w:lang w:eastAsia="cs-CZ"/>
                    </w:rPr>
                    <w:t>3 let ode dne právní moci tohoto rozhodnutí, jde-li o</w:t>
                  </w:r>
                </w:p>
                <w:tbl>
                  <w:tblPr>
                    <w:tblW w:w="0" w:type="auto"/>
                    <w:tblCellSpacing w:w="0" w:type="dxa"/>
                    <w:tblLayout w:type="fixed"/>
                    <w:tblCellMar>
                      <w:left w:w="0" w:type="dxa"/>
                      <w:right w:w="0" w:type="dxa"/>
                    </w:tblCellMar>
                    <w:tblLook w:val="04A0" w:firstRow="1" w:lastRow="0" w:firstColumn="1" w:lastColumn="0" w:noHBand="0" w:noVBand="1"/>
                  </w:tblPr>
                  <w:tblGrid>
                    <w:gridCol w:w="20"/>
                    <w:gridCol w:w="8612"/>
                  </w:tblGrid>
                  <w:tr w:rsidR="004D4E26" w:rsidRPr="002C3CBD" w:rsidTr="002C3CBD">
                    <w:trPr>
                      <w:tblCellSpacing w:w="0" w:type="dxa"/>
                    </w:trPr>
                    <w:tc>
                      <w:tcPr>
                        <w:tcW w:w="20" w:type="dxa"/>
                        <w:vAlign w:val="center"/>
                        <w:hideMark/>
                      </w:tcPr>
                      <w:p w:rsidR="004D4E26" w:rsidRPr="002C3CBD" w:rsidRDefault="004D4E26" w:rsidP="00DB6C2C">
                        <w:pPr>
                          <w:spacing w:after="0" w:line="240" w:lineRule="auto"/>
                          <w:jc w:val="both"/>
                          <w:rPr>
                            <w:rFonts w:eastAsia="Times New Roman" w:cstheme="minorHAnsi"/>
                            <w:i/>
                            <w:lang w:eastAsia="cs-CZ"/>
                          </w:rPr>
                        </w:pPr>
                      </w:p>
                    </w:tc>
                    <w:tc>
                      <w:tcPr>
                        <w:tcW w:w="8612" w:type="dxa"/>
                        <w:vAlign w:val="center"/>
                        <w:hideMark/>
                      </w:tcPr>
                      <w:p w:rsidR="004D4E26" w:rsidRPr="002C3CBD" w:rsidRDefault="004D4E26" w:rsidP="00DB6C2C">
                        <w:pPr>
                          <w:pStyle w:val="Odstavecseseznamem"/>
                          <w:numPr>
                            <w:ilvl w:val="0"/>
                            <w:numId w:val="1"/>
                          </w:num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jiné rozhodnutí než podle písmene a) nebo b),</w:t>
                        </w:r>
                      </w:p>
                    </w:tc>
                  </w:tr>
                  <w:tr w:rsidR="004D4E26" w:rsidRPr="002C3CBD" w:rsidTr="002C3CBD">
                    <w:trPr>
                      <w:tblCellSpacing w:w="0" w:type="dxa"/>
                    </w:trPr>
                    <w:tc>
                      <w:tcPr>
                        <w:tcW w:w="20" w:type="dxa"/>
                        <w:vAlign w:val="center"/>
                        <w:hideMark/>
                      </w:tcPr>
                      <w:p w:rsidR="004D4E26" w:rsidRPr="002C3CBD" w:rsidRDefault="004D4E26" w:rsidP="00DB6C2C">
                        <w:pPr>
                          <w:spacing w:after="0" w:line="240" w:lineRule="auto"/>
                          <w:jc w:val="both"/>
                          <w:rPr>
                            <w:rFonts w:eastAsia="Times New Roman" w:cstheme="minorHAnsi"/>
                            <w:i/>
                            <w:lang w:eastAsia="cs-CZ"/>
                          </w:rPr>
                        </w:pPr>
                      </w:p>
                    </w:tc>
                    <w:tc>
                      <w:tcPr>
                        <w:tcW w:w="8612" w:type="dxa"/>
                        <w:vAlign w:val="center"/>
                        <w:hideMark/>
                      </w:tcPr>
                      <w:p w:rsidR="004D4E26" w:rsidRPr="002C3CBD" w:rsidRDefault="004D4E26" w:rsidP="00DB6C2C">
                        <w:pPr>
                          <w:pStyle w:val="Odstavecseseznamem"/>
                          <w:numPr>
                            <w:ilvl w:val="0"/>
                            <w:numId w:val="1"/>
                          </w:num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nařízení z důvodu možného zrušení rozhodnutí o stanovení daně, které nabylo právní moci po uplynutí lhůty pro stanovení daně,</w:t>
                        </w:r>
                      </w:p>
                    </w:tc>
                  </w:tr>
                  <w:tr w:rsidR="004D4E26" w:rsidRPr="004D4E26" w:rsidTr="002C3CBD">
                    <w:trPr>
                      <w:tblCellSpacing w:w="0" w:type="dxa"/>
                    </w:trPr>
                    <w:tc>
                      <w:tcPr>
                        <w:tcW w:w="20" w:type="dxa"/>
                        <w:vAlign w:val="center"/>
                        <w:hideMark/>
                      </w:tcPr>
                      <w:p w:rsidR="004D4E26" w:rsidRPr="004D4E26" w:rsidRDefault="004D4E26" w:rsidP="00DB6C2C">
                        <w:pPr>
                          <w:spacing w:after="0" w:line="240" w:lineRule="auto"/>
                          <w:jc w:val="both"/>
                          <w:rPr>
                            <w:rFonts w:eastAsia="Times New Roman" w:cstheme="minorHAnsi"/>
                            <w:lang w:eastAsia="cs-CZ"/>
                          </w:rPr>
                        </w:pPr>
                      </w:p>
                    </w:tc>
                    <w:tc>
                      <w:tcPr>
                        <w:tcW w:w="8612" w:type="dxa"/>
                        <w:vAlign w:val="center"/>
                        <w:hideMark/>
                      </w:tcPr>
                      <w:p w:rsidR="002F00E7" w:rsidRPr="002C3CBD" w:rsidRDefault="004D4E26" w:rsidP="00DB6C2C">
                        <w:pPr>
                          <w:pStyle w:val="Odstavecseseznamem"/>
                          <w:numPr>
                            <w:ilvl w:val="0"/>
                            <w:numId w:val="1"/>
                          </w:numPr>
                          <w:spacing w:before="100" w:beforeAutospacing="1" w:after="100" w:afterAutospacing="1" w:line="240" w:lineRule="auto"/>
                          <w:jc w:val="both"/>
                          <w:rPr>
                            <w:rFonts w:eastAsia="Times New Roman" w:cstheme="minorHAnsi"/>
                            <w:i/>
                            <w:lang w:eastAsia="cs-CZ"/>
                          </w:rPr>
                        </w:pPr>
                        <w:r w:rsidRPr="002C3CBD">
                          <w:rPr>
                            <w:rFonts w:eastAsia="Times New Roman" w:cstheme="minorHAnsi"/>
                            <w:i/>
                            <w:lang w:eastAsia="cs-CZ"/>
                          </w:rPr>
                          <w:t>nařízení z důvodu možného zrušení rozhodnutí vydaného při placení daní, které nabylo právní moci po uplynutí lhůty pro placení daně.</w:t>
                        </w:r>
                      </w:p>
                      <w:p w:rsidR="002F00E7" w:rsidRPr="002F00E7" w:rsidRDefault="002F00E7" w:rsidP="00DB6C2C">
                        <w:pPr>
                          <w:pStyle w:val="p2"/>
                          <w:jc w:val="both"/>
                          <w:rPr>
                            <w:rFonts w:asciiTheme="minorHAnsi" w:hAnsiTheme="minorHAnsi" w:cstheme="minorHAnsi"/>
                            <w:sz w:val="22"/>
                            <w:szCs w:val="22"/>
                            <w:lang w:val="en"/>
                          </w:rPr>
                        </w:pPr>
                        <w:r>
                          <w:rPr>
                            <w:rFonts w:asciiTheme="minorHAnsi" w:hAnsiTheme="minorHAnsi" w:cstheme="minorHAnsi"/>
                            <w:sz w:val="22"/>
                            <w:szCs w:val="22"/>
                            <w:lang w:val="en"/>
                          </w:rPr>
                          <w:t xml:space="preserve">Nová formulace pokrývá časté případy, </w:t>
                        </w:r>
                        <w:r w:rsidRPr="002F00E7">
                          <w:rPr>
                            <w:rFonts w:asciiTheme="minorHAnsi" w:hAnsiTheme="minorHAnsi" w:cstheme="minorHAnsi"/>
                            <w:sz w:val="22"/>
                            <w:szCs w:val="22"/>
                            <w:lang w:val="en"/>
                          </w:rPr>
                          <w:t xml:space="preserve">kdy je rozhodnutí o stanovení daně (popřípadě rozhodnutí vydané v řízení při placení daní) vydáno poté, co prekluzivní lhůta uplynula. </w:t>
                        </w:r>
                        <w:r>
                          <w:rPr>
                            <w:rFonts w:asciiTheme="minorHAnsi" w:hAnsiTheme="minorHAnsi" w:cstheme="minorHAnsi"/>
                            <w:sz w:val="22"/>
                            <w:szCs w:val="22"/>
                            <w:lang w:val="en"/>
                          </w:rPr>
                          <w:t xml:space="preserve">Při dosavadní formulaci tak nastal </w:t>
                        </w:r>
                        <w:r w:rsidRPr="002F00E7">
                          <w:rPr>
                            <w:rFonts w:asciiTheme="minorHAnsi" w:hAnsiTheme="minorHAnsi" w:cstheme="minorHAnsi"/>
                            <w:sz w:val="22"/>
                            <w:szCs w:val="22"/>
                            <w:lang w:val="en"/>
                          </w:rPr>
                          <w:t xml:space="preserve">problém, jak nezákonné rozhodnutí, kterým byla stanovena daň, procesně </w:t>
                        </w:r>
                        <w:r w:rsidRPr="002F00E7">
                          <w:rPr>
                            <w:rFonts w:asciiTheme="minorHAnsi" w:hAnsiTheme="minorHAnsi" w:cstheme="minorHAnsi"/>
                            <w:sz w:val="22"/>
                            <w:szCs w:val="22"/>
                            <w:lang w:val="en"/>
                          </w:rPr>
                          <w:lastRenderedPageBreak/>
                          <w:t xml:space="preserve">zlikvidovat. </w:t>
                        </w:r>
                        <w:r>
                          <w:rPr>
                            <w:rFonts w:asciiTheme="minorHAnsi" w:hAnsiTheme="minorHAnsi" w:cstheme="minorHAnsi"/>
                            <w:sz w:val="22"/>
                            <w:szCs w:val="22"/>
                            <w:lang w:val="en"/>
                          </w:rPr>
                          <w:t xml:space="preserve">Nově </w:t>
                        </w:r>
                        <w:r w:rsidR="00DB6C2C">
                          <w:rPr>
                            <w:rFonts w:asciiTheme="minorHAnsi" w:hAnsiTheme="minorHAnsi" w:cstheme="minorHAnsi"/>
                            <w:sz w:val="22"/>
                            <w:szCs w:val="22"/>
                            <w:lang w:val="en"/>
                          </w:rPr>
                          <w:t>je tedy</w:t>
                        </w:r>
                        <w:r>
                          <w:rPr>
                            <w:rFonts w:asciiTheme="minorHAnsi" w:hAnsiTheme="minorHAnsi" w:cstheme="minorHAnsi"/>
                            <w:sz w:val="22"/>
                            <w:szCs w:val="22"/>
                            <w:lang w:val="en"/>
                          </w:rPr>
                          <w:t xml:space="preserve"> umožněno </w:t>
                        </w:r>
                        <w:r w:rsidRPr="002F00E7">
                          <w:rPr>
                            <w:rFonts w:asciiTheme="minorHAnsi" w:hAnsiTheme="minorHAnsi" w:cstheme="minorHAnsi"/>
                            <w:sz w:val="22"/>
                            <w:szCs w:val="22"/>
                            <w:lang w:val="en"/>
                          </w:rPr>
                          <w:t xml:space="preserve">nařídit </w:t>
                        </w:r>
                        <w:bookmarkStart w:id="1" w:name="highlightHit_2"/>
                        <w:bookmarkEnd w:id="1"/>
                        <w:r w:rsidRPr="002F00E7">
                          <w:rPr>
                            <w:rStyle w:val="highlight"/>
                            <w:rFonts w:asciiTheme="minorHAnsi" w:hAnsiTheme="minorHAnsi" w:cstheme="minorHAnsi"/>
                            <w:sz w:val="22"/>
                            <w:szCs w:val="22"/>
                            <w:lang w:val="en"/>
                          </w:rPr>
                          <w:t>přezkoumání</w:t>
                        </w:r>
                        <w:r w:rsidRPr="002F00E7">
                          <w:rPr>
                            <w:rFonts w:asciiTheme="minorHAnsi" w:hAnsiTheme="minorHAnsi" w:cstheme="minorHAnsi"/>
                            <w:sz w:val="22"/>
                            <w:szCs w:val="22"/>
                            <w:lang w:val="en"/>
                          </w:rPr>
                          <w:t xml:space="preserve"> rozhodnutí o stanovení daně poté, co uplynula lhůta pro stanovení daně, resp. rozhodnutí vydaného při placení daní poté, co uplynula lhůta</w:t>
                        </w:r>
                        <w:r>
                          <w:rPr>
                            <w:rFonts w:asciiTheme="minorHAnsi" w:hAnsiTheme="minorHAnsi" w:cstheme="minorHAnsi"/>
                            <w:sz w:val="22"/>
                            <w:szCs w:val="22"/>
                            <w:lang w:val="en"/>
                          </w:rPr>
                          <w:t xml:space="preserve"> pro placení daně a nezákonné rozhodnutí zrušit. </w:t>
                        </w:r>
                        <w:r w:rsidR="002C3CBD">
                          <w:rPr>
                            <w:rFonts w:asciiTheme="minorHAnsi" w:hAnsiTheme="minorHAnsi" w:cstheme="minorHAnsi"/>
                            <w:sz w:val="22"/>
                            <w:szCs w:val="22"/>
                            <w:lang w:val="en"/>
                          </w:rPr>
                          <w:t xml:space="preserve">Podmínkou je ale lhůta tří let </w:t>
                        </w:r>
                        <w:r w:rsidRPr="002F00E7">
                          <w:rPr>
                            <w:rFonts w:asciiTheme="minorHAnsi" w:hAnsiTheme="minorHAnsi" w:cstheme="minorHAnsi"/>
                            <w:sz w:val="22"/>
                            <w:szCs w:val="22"/>
                            <w:lang w:val="en"/>
                          </w:rPr>
                          <w:t>od právní moci</w:t>
                        </w:r>
                        <w:r w:rsidR="002C3CBD">
                          <w:rPr>
                            <w:rFonts w:asciiTheme="minorHAnsi" w:hAnsiTheme="minorHAnsi" w:cstheme="minorHAnsi"/>
                            <w:sz w:val="22"/>
                            <w:szCs w:val="22"/>
                            <w:lang w:val="en"/>
                          </w:rPr>
                          <w:t xml:space="preserve"> takového</w:t>
                        </w:r>
                        <w:r w:rsidRPr="002F00E7">
                          <w:rPr>
                            <w:rFonts w:asciiTheme="minorHAnsi" w:hAnsiTheme="minorHAnsi" w:cstheme="minorHAnsi"/>
                            <w:sz w:val="22"/>
                            <w:szCs w:val="22"/>
                            <w:lang w:val="en"/>
                          </w:rPr>
                          <w:t xml:space="preserve"> rozhodnutí.</w:t>
                        </w:r>
                      </w:p>
                      <w:p w:rsidR="002F00E7" w:rsidRDefault="00820746" w:rsidP="00DB6C2C">
                        <w:pPr>
                          <w:pStyle w:val="p2"/>
                          <w:jc w:val="both"/>
                          <w:rPr>
                            <w:rFonts w:cstheme="minorHAnsi"/>
                          </w:rPr>
                        </w:pPr>
                        <w:r>
                          <w:rPr>
                            <w:rFonts w:asciiTheme="minorHAnsi" w:hAnsiTheme="minorHAnsi" w:cstheme="minorHAnsi"/>
                            <w:sz w:val="22"/>
                            <w:szCs w:val="22"/>
                            <w:lang w:val="en"/>
                          </w:rPr>
                          <w:t>Novou úpravu je</w:t>
                        </w:r>
                        <w:r w:rsidR="002F00E7" w:rsidRPr="002F00E7">
                          <w:rPr>
                            <w:rFonts w:asciiTheme="minorHAnsi" w:hAnsiTheme="minorHAnsi" w:cstheme="minorHAnsi"/>
                            <w:sz w:val="22"/>
                            <w:szCs w:val="22"/>
                            <w:lang w:val="en"/>
                          </w:rPr>
                          <w:t xml:space="preserve"> možné použít i na rozhodnutí vydaná před účinnosti </w:t>
                        </w:r>
                        <w:r>
                          <w:rPr>
                            <w:rFonts w:asciiTheme="minorHAnsi" w:hAnsiTheme="minorHAnsi" w:cstheme="minorHAnsi"/>
                            <w:sz w:val="22"/>
                            <w:szCs w:val="22"/>
                            <w:lang w:val="en"/>
                          </w:rPr>
                          <w:t>novely</w:t>
                        </w:r>
                        <w:r w:rsidR="002F00E7" w:rsidRPr="002F00E7">
                          <w:rPr>
                            <w:rFonts w:asciiTheme="minorHAnsi" w:hAnsiTheme="minorHAnsi" w:cstheme="minorHAnsi"/>
                            <w:sz w:val="22"/>
                            <w:szCs w:val="22"/>
                            <w:lang w:val="en"/>
                          </w:rPr>
                          <w:t xml:space="preserve">, pokud jim svědčí stanovená tříletá lhůta, </w:t>
                        </w:r>
                        <w:r w:rsidR="00374236">
                          <w:rPr>
                            <w:rFonts w:asciiTheme="minorHAnsi" w:hAnsiTheme="minorHAnsi" w:cstheme="minorHAnsi"/>
                            <w:sz w:val="22"/>
                            <w:szCs w:val="22"/>
                            <w:lang w:val="en"/>
                          </w:rPr>
                          <w:t>tedy i</w:t>
                        </w:r>
                        <w:r w:rsidR="002C3CBD">
                          <w:rPr>
                            <w:rFonts w:asciiTheme="minorHAnsi" w:hAnsiTheme="minorHAnsi" w:cstheme="minorHAnsi"/>
                            <w:sz w:val="22"/>
                            <w:szCs w:val="22"/>
                            <w:lang w:val="en"/>
                          </w:rPr>
                          <w:t xml:space="preserve"> v situaci</w:t>
                        </w:r>
                        <w:r w:rsidR="002F00E7" w:rsidRPr="002F00E7">
                          <w:rPr>
                            <w:rFonts w:asciiTheme="minorHAnsi" w:hAnsiTheme="minorHAnsi" w:cstheme="minorHAnsi"/>
                            <w:sz w:val="22"/>
                            <w:szCs w:val="22"/>
                            <w:lang w:val="en"/>
                          </w:rPr>
                          <w:t xml:space="preserve">, kdy příslušné rozhodnutí nabylo právní moci před méně než třemi lety od účinnosti </w:t>
                        </w:r>
                        <w:r>
                          <w:rPr>
                            <w:rFonts w:asciiTheme="minorHAnsi" w:hAnsiTheme="minorHAnsi" w:cstheme="minorHAnsi"/>
                            <w:sz w:val="22"/>
                            <w:szCs w:val="22"/>
                            <w:lang w:val="en"/>
                          </w:rPr>
                          <w:t>novely</w:t>
                        </w:r>
                        <w:r w:rsidR="002F00E7" w:rsidRPr="002F00E7">
                          <w:rPr>
                            <w:rFonts w:asciiTheme="minorHAnsi" w:hAnsiTheme="minorHAnsi" w:cstheme="minorHAnsi"/>
                            <w:sz w:val="22"/>
                            <w:szCs w:val="22"/>
                            <w:lang w:val="en"/>
                          </w:rPr>
                          <w:t xml:space="preserve">. </w:t>
                        </w:r>
                      </w:p>
                      <w:p w:rsidR="00564E0F" w:rsidRPr="00564E0F" w:rsidRDefault="00564E0F" w:rsidP="00DB6C2C">
                        <w:pPr>
                          <w:spacing w:before="100" w:beforeAutospacing="1" w:after="100" w:afterAutospacing="1" w:line="240" w:lineRule="auto"/>
                          <w:jc w:val="both"/>
                          <w:rPr>
                            <w:rFonts w:eastAsia="Times New Roman" w:cstheme="minorHAnsi"/>
                            <w:lang w:eastAsia="cs-CZ"/>
                          </w:rPr>
                        </w:pPr>
                      </w:p>
                    </w:tc>
                  </w:tr>
                </w:tbl>
                <w:p w:rsidR="004D4E26" w:rsidRPr="004D4E26" w:rsidRDefault="004D4E26" w:rsidP="00DB6C2C">
                  <w:pPr>
                    <w:spacing w:after="0" w:line="240" w:lineRule="auto"/>
                    <w:jc w:val="both"/>
                    <w:rPr>
                      <w:rFonts w:eastAsia="Times New Roman" w:cstheme="minorHAnsi"/>
                      <w:lang w:eastAsia="cs-CZ"/>
                    </w:rPr>
                  </w:pPr>
                </w:p>
              </w:tc>
            </w:tr>
          </w:tbl>
          <w:p w:rsidR="004D4E26" w:rsidRPr="004D4E26" w:rsidRDefault="004D4E26" w:rsidP="004D4E26">
            <w:pPr>
              <w:spacing w:after="0" w:line="240" w:lineRule="auto"/>
              <w:rPr>
                <w:rFonts w:ascii="Times New Roman" w:eastAsia="Times New Roman" w:hAnsi="Times New Roman" w:cs="Times New Roman"/>
                <w:lang w:eastAsia="cs-CZ"/>
              </w:rPr>
            </w:pPr>
          </w:p>
        </w:tc>
      </w:tr>
    </w:tbl>
    <w:p w:rsidR="004D4E26" w:rsidRPr="00DB7C3C" w:rsidRDefault="00675813" w:rsidP="00675813">
      <w:pPr>
        <w:pStyle w:val="Odstavecseseznamem"/>
        <w:numPr>
          <w:ilvl w:val="0"/>
          <w:numId w:val="2"/>
        </w:numPr>
        <w:rPr>
          <w:b/>
          <w:sz w:val="28"/>
          <w:szCs w:val="28"/>
        </w:rPr>
      </w:pPr>
      <w:r w:rsidRPr="00DB7C3C">
        <w:rPr>
          <w:b/>
          <w:sz w:val="28"/>
          <w:szCs w:val="28"/>
        </w:rPr>
        <w:lastRenderedPageBreak/>
        <w:t>Nedoplatky, přeplatky</w:t>
      </w:r>
    </w:p>
    <w:p w:rsidR="00675813" w:rsidRDefault="00675813" w:rsidP="00675813"/>
    <w:p w:rsidR="00675813" w:rsidRPr="005E027E" w:rsidRDefault="00675813" w:rsidP="00675813">
      <w:pPr>
        <w:rPr>
          <w:b/>
        </w:rPr>
      </w:pPr>
      <w:r w:rsidRPr="005E027E">
        <w:rPr>
          <w:b/>
        </w:rPr>
        <w:t>§ 153 odst. 3</w:t>
      </w:r>
    </w:p>
    <w:p w:rsidR="00675813" w:rsidRPr="00DB6C2C" w:rsidRDefault="00675813" w:rsidP="00675813">
      <w:pPr>
        <w:rPr>
          <w:u w:val="single"/>
        </w:rPr>
      </w:pPr>
      <w:r w:rsidRPr="00DB6C2C">
        <w:rPr>
          <w:u w:val="single"/>
        </w:rPr>
        <w:t>Dříve:</w:t>
      </w:r>
    </w:p>
    <w:p w:rsidR="00675813" w:rsidRDefault="00675813" w:rsidP="00675813">
      <w:r w:rsidRPr="002C3CBD">
        <w:rPr>
          <w:i/>
        </w:rPr>
        <w:t>Správce daně může daňový subjekt vhodným způsobem vyrozumět o výši jeho nedoplatků a upozornit jej na následky spojené s jejich neuhrazením.</w:t>
      </w:r>
    </w:p>
    <w:p w:rsidR="00675813" w:rsidRPr="00DB6C2C" w:rsidRDefault="00675813" w:rsidP="00675813">
      <w:pPr>
        <w:rPr>
          <w:u w:val="single"/>
        </w:rPr>
      </w:pPr>
      <w:r w:rsidRPr="00DB6C2C">
        <w:rPr>
          <w:u w:val="single"/>
        </w:rPr>
        <w:t>Nyní:</w:t>
      </w:r>
    </w:p>
    <w:p w:rsidR="00675813" w:rsidRPr="002C3CBD" w:rsidRDefault="00675813" w:rsidP="00174887">
      <w:pPr>
        <w:jc w:val="both"/>
        <w:rPr>
          <w:rStyle w:val="upd"/>
          <w:i/>
        </w:rPr>
      </w:pPr>
      <w:r w:rsidRPr="002C3CBD">
        <w:rPr>
          <w:i/>
        </w:rPr>
        <w:t xml:space="preserve">Správce daně může daňový subjekt vhodným způsobem vyrozumět o výši jeho nedoplatků a upozornit jej na následky spojené s jejich neuhrazením. </w:t>
      </w:r>
      <w:r w:rsidRPr="002C3CBD">
        <w:rPr>
          <w:rStyle w:val="upd"/>
          <w:b/>
          <w:i/>
        </w:rPr>
        <w:t>Správce daně tak učiní vždy, jedná-li se o nedoplatek, který má být poprvé vymáhán; to neplatí, byl-li daňový subjekt o nedoplatku již dříve vyrozuměn, hrozí-li nebezpečí z prodlení nebo by vyrozumění bylo zjevně neúčelné</w:t>
      </w:r>
      <w:r w:rsidRPr="002C3CBD">
        <w:rPr>
          <w:rStyle w:val="upd"/>
          <w:i/>
        </w:rPr>
        <w:t>.</w:t>
      </w:r>
    </w:p>
    <w:p w:rsidR="002C3CBD" w:rsidRDefault="002C3CBD" w:rsidP="00675813">
      <w:pPr>
        <w:rPr>
          <w:rStyle w:val="upd"/>
        </w:rPr>
      </w:pPr>
    </w:p>
    <w:p w:rsidR="00675813" w:rsidRDefault="00DB6C2C" w:rsidP="00675813">
      <w:pPr>
        <w:rPr>
          <w:rStyle w:val="upd"/>
        </w:rPr>
      </w:pPr>
      <w:r>
        <w:rPr>
          <w:rStyle w:val="upd"/>
        </w:rPr>
        <w:t>v</w:t>
      </w:r>
      <w:r w:rsidR="00675813">
        <w:rPr>
          <w:rStyle w:val="upd"/>
        </w:rPr>
        <w:t>yrozumění = např. doručení platebního výměru do vlastních rukou</w:t>
      </w:r>
    </w:p>
    <w:p w:rsidR="00675813" w:rsidRDefault="00DB6C2C" w:rsidP="00675813">
      <w:pPr>
        <w:rPr>
          <w:rStyle w:val="upd"/>
        </w:rPr>
      </w:pPr>
      <w:r>
        <w:rPr>
          <w:rStyle w:val="upd"/>
        </w:rPr>
        <w:t>n</w:t>
      </w:r>
      <w:r w:rsidR="00675813">
        <w:rPr>
          <w:rStyle w:val="upd"/>
        </w:rPr>
        <w:t>ebezpečí z</w:t>
      </w:r>
      <w:r w:rsidR="00CB612F">
        <w:rPr>
          <w:rStyle w:val="upd"/>
        </w:rPr>
        <w:t> </w:t>
      </w:r>
      <w:r w:rsidR="00675813">
        <w:rPr>
          <w:rStyle w:val="upd"/>
        </w:rPr>
        <w:t>prodlení</w:t>
      </w:r>
      <w:r w:rsidR="00CB612F">
        <w:rPr>
          <w:rStyle w:val="upd"/>
        </w:rPr>
        <w:t xml:space="preserve"> </w:t>
      </w:r>
      <w:r w:rsidR="00675813">
        <w:rPr>
          <w:rStyle w:val="upd"/>
        </w:rPr>
        <w:t xml:space="preserve">= např. </w:t>
      </w:r>
      <w:r w:rsidR="002C3CBD">
        <w:rPr>
          <w:rStyle w:val="upd"/>
        </w:rPr>
        <w:t xml:space="preserve">daňový subjekt </w:t>
      </w:r>
      <w:r w:rsidR="00675813">
        <w:rPr>
          <w:rStyle w:val="upd"/>
        </w:rPr>
        <w:t>„vyvádí“ majetek, ruší bankovní účty apod.</w:t>
      </w:r>
    </w:p>
    <w:p w:rsidR="00675813" w:rsidRDefault="00DB6C2C" w:rsidP="00675813">
      <w:pPr>
        <w:rPr>
          <w:rStyle w:val="upd"/>
        </w:rPr>
      </w:pPr>
      <w:r>
        <w:rPr>
          <w:rStyle w:val="upd"/>
        </w:rPr>
        <w:t>z</w:t>
      </w:r>
      <w:r w:rsidR="00675813">
        <w:rPr>
          <w:rStyle w:val="upd"/>
        </w:rPr>
        <w:t>jevně neúčelné = např</w:t>
      </w:r>
      <w:r w:rsidR="002C3CBD">
        <w:rPr>
          <w:rStyle w:val="upd"/>
        </w:rPr>
        <w:t>. nekomunikuje, nepřebírá poštu</w:t>
      </w:r>
      <w:r w:rsidR="00675813">
        <w:rPr>
          <w:rStyle w:val="upd"/>
        </w:rPr>
        <w:t xml:space="preserve"> </w:t>
      </w:r>
      <w:r w:rsidR="002C3CBD">
        <w:rPr>
          <w:rStyle w:val="upd"/>
        </w:rPr>
        <w:t>(</w:t>
      </w:r>
      <w:r w:rsidR="00CB612F">
        <w:rPr>
          <w:rStyle w:val="upd"/>
        </w:rPr>
        <w:t>nekontaktní osoba</w:t>
      </w:r>
      <w:r w:rsidR="002C3CBD">
        <w:rPr>
          <w:rStyle w:val="upd"/>
        </w:rPr>
        <w:t>)</w:t>
      </w:r>
    </w:p>
    <w:p w:rsidR="00CB612F" w:rsidRDefault="00004574" w:rsidP="00675813">
      <w:pPr>
        <w:rPr>
          <w:rStyle w:val="upd"/>
        </w:rPr>
      </w:pPr>
      <w:r>
        <w:rPr>
          <w:lang w:val="en"/>
        </w:rPr>
        <w:t xml:space="preserve">Pokud již byl o nedoplatku daňový subjekt jednou </w:t>
      </w:r>
      <w:r w:rsidR="002C3CBD">
        <w:rPr>
          <w:lang w:val="en"/>
        </w:rPr>
        <w:t xml:space="preserve">o nedoplatku </w:t>
      </w:r>
      <w:r>
        <w:rPr>
          <w:lang w:val="en"/>
        </w:rPr>
        <w:t>vyrozuměn</w:t>
      </w:r>
      <w:r w:rsidR="00DB6C2C">
        <w:rPr>
          <w:lang w:val="en"/>
        </w:rPr>
        <w:t>,</w:t>
      </w:r>
      <w:r w:rsidR="00174887">
        <w:rPr>
          <w:lang w:val="en"/>
        </w:rPr>
        <w:t xml:space="preserve"> a</w:t>
      </w:r>
      <w:r w:rsidR="00DB6C2C">
        <w:rPr>
          <w:lang w:val="en"/>
        </w:rPr>
        <w:t>le</w:t>
      </w:r>
      <w:r w:rsidR="00174887">
        <w:rPr>
          <w:lang w:val="en"/>
        </w:rPr>
        <w:t xml:space="preserve"> výše daného nedoplatku se změnila (např. směrem dolů při částečném uhrazení anebo směrem nahoru v důsledku postupného vzniku úroku z prodlení),</w:t>
      </w:r>
      <w:r>
        <w:rPr>
          <w:lang w:val="en"/>
        </w:rPr>
        <w:t xml:space="preserve"> není </w:t>
      </w:r>
      <w:r w:rsidR="00174887">
        <w:rPr>
          <w:lang w:val="en"/>
        </w:rPr>
        <w:t>nezbytné jej vyrozumívat znovu.</w:t>
      </w:r>
    </w:p>
    <w:p w:rsidR="00E77422" w:rsidRDefault="00E77422" w:rsidP="00675813">
      <w:pPr>
        <w:rPr>
          <w:rStyle w:val="upd"/>
        </w:rPr>
      </w:pPr>
      <w:r>
        <w:rPr>
          <w:rStyle w:val="upd"/>
        </w:rPr>
        <w:t>V § 154 – 155 b došlo k vymezení pojmů přeplatek a vratitelný přeplatek:</w:t>
      </w:r>
    </w:p>
    <w:p w:rsidR="00E77422" w:rsidRDefault="00DB6C2C" w:rsidP="00675813">
      <w:pPr>
        <w:rPr>
          <w:rStyle w:val="upd"/>
        </w:rPr>
      </w:pPr>
      <w:r>
        <w:rPr>
          <w:rStyle w:val="upd"/>
        </w:rPr>
        <w:t>p</w:t>
      </w:r>
      <w:r w:rsidR="00E77422">
        <w:rPr>
          <w:rStyle w:val="upd"/>
        </w:rPr>
        <w:t>řeplatek = částka, o kterou kreditní strana osobního daňového účtu převyšuje debetní stranu</w:t>
      </w:r>
    </w:p>
    <w:p w:rsidR="00E77422" w:rsidRDefault="00DB6C2C" w:rsidP="00675813">
      <w:pPr>
        <w:rPr>
          <w:rStyle w:val="upd"/>
        </w:rPr>
      </w:pPr>
      <w:r>
        <w:rPr>
          <w:rStyle w:val="upd"/>
        </w:rPr>
        <w:t>v</w:t>
      </w:r>
      <w:r w:rsidR="00174887">
        <w:rPr>
          <w:rStyle w:val="upd"/>
        </w:rPr>
        <w:t>ratitelný přeplatek = takový přeplatek, kdy není nedoplatek na jiném osobním daňovém účtu daňového subjektu, jiný správce daně nepožádal o jeho převedení a byl proveden test vratitelnosti (výjimka § 185 DŘ).</w:t>
      </w:r>
    </w:p>
    <w:p w:rsidR="00E77422" w:rsidRDefault="00174887" w:rsidP="00E77422">
      <w:r>
        <w:rPr>
          <w:rStyle w:val="upd"/>
        </w:rPr>
        <w:t xml:space="preserve">     </w:t>
      </w:r>
    </w:p>
    <w:p w:rsidR="00E77422" w:rsidRPr="005E027E" w:rsidRDefault="00E77422" w:rsidP="00E77422">
      <w:pPr>
        <w:rPr>
          <w:b/>
        </w:rPr>
      </w:pPr>
      <w:r w:rsidRPr="005E027E">
        <w:rPr>
          <w:b/>
        </w:rPr>
        <w:t>§ 154 odst. 2</w:t>
      </w:r>
    </w:p>
    <w:p w:rsidR="00E77422" w:rsidRPr="00DB6C2C" w:rsidRDefault="00E77422" w:rsidP="00E77422">
      <w:pPr>
        <w:rPr>
          <w:u w:val="single"/>
        </w:rPr>
      </w:pPr>
      <w:r w:rsidRPr="00DB6C2C">
        <w:rPr>
          <w:u w:val="single"/>
        </w:rPr>
        <w:t>Dříve:</w:t>
      </w:r>
    </w:p>
    <w:p w:rsidR="00E77422" w:rsidRDefault="00E77422" w:rsidP="00174887">
      <w:pPr>
        <w:jc w:val="both"/>
        <w:rPr>
          <w:bCs/>
        </w:rPr>
      </w:pPr>
      <w:r w:rsidRPr="00174887">
        <w:rPr>
          <w:bCs/>
          <w:i/>
        </w:rPr>
        <w:t xml:space="preserve">Správce daně převede přeplatek na úhradu případného nedoplatku téhož daňového subjektu na jiném osobním daňovém účtu, popřípadě na úhradu nedoplatku podle odstavce 4. Není-li takového </w:t>
      </w:r>
      <w:r w:rsidRPr="00174887">
        <w:rPr>
          <w:bCs/>
          <w:i/>
        </w:rPr>
        <w:lastRenderedPageBreak/>
        <w:t>nedoplatku, stává se přeplatek vratitelným přeplatkem a zůstává jako platba na dosud neuhrazenou daň na osobním daňovém účtu, na kterém je evidován. Pokud existuje odůvodněný předpoklad, že dojde do 10 dnů ode dne, kdy má být přeplatek na úhradu nedoplatku na jiném osobním daňovém účtu použit, ke vzniku povinnosti uhradit daň na stejném osobním daňovém účtu, přeplatek se na úhradu nedoplatku na jiném osobním daňovém účtu nepoužije.</w:t>
      </w:r>
    </w:p>
    <w:p w:rsidR="00E77422" w:rsidRPr="00DB6C2C" w:rsidRDefault="00E77422" w:rsidP="00E77422">
      <w:pPr>
        <w:rPr>
          <w:bCs/>
          <w:u w:val="single"/>
        </w:rPr>
      </w:pPr>
      <w:r w:rsidRPr="00DB6C2C">
        <w:rPr>
          <w:bCs/>
          <w:u w:val="single"/>
        </w:rPr>
        <w:t>Nyní:</w:t>
      </w:r>
    </w:p>
    <w:p w:rsidR="00E77422" w:rsidRPr="00174887" w:rsidRDefault="00E77422" w:rsidP="00174887">
      <w:pPr>
        <w:jc w:val="both"/>
        <w:rPr>
          <w:b/>
          <w:i/>
        </w:rPr>
      </w:pPr>
      <w:r w:rsidRPr="00174887">
        <w:rPr>
          <w:i/>
        </w:rPr>
        <w:t>Správce daně převede přeplatek na úhradu případného nedoplatku téhož daňového subjektu na jiném osobním daňovém účtu, popřípadě na úhradu nedoplatku podle odstavce 4. Není-li takového nedoplatku, stává se přeplatek vratitelným přeplatkem a zůstává jako platba na dosud neuhrazenou daň na osobním daňovém účtu, na kterém je evidován. Pokud existuje odůvodněný předpoklad, že dojde ke vzniku povinnosti uhradit daň na stejném osobním daňovém účtu, přeplatek se na úhradu nedoplatku na jiném osobním daňovém účtu nepoužije</w:t>
      </w:r>
      <w:r w:rsidRPr="00174887">
        <w:rPr>
          <w:rStyle w:val="upd"/>
          <w:i/>
        </w:rPr>
        <w:t xml:space="preserve">; </w:t>
      </w:r>
      <w:r w:rsidRPr="00174887">
        <w:rPr>
          <w:rStyle w:val="upd"/>
          <w:b/>
          <w:i/>
        </w:rPr>
        <w:t>to neplatí, pokud daňový subjekt o takové použití přeplatku požádá</w:t>
      </w:r>
      <w:r w:rsidRPr="00174887">
        <w:rPr>
          <w:b/>
          <w:i/>
        </w:rPr>
        <w:t>.</w:t>
      </w:r>
    </w:p>
    <w:p w:rsidR="00E77422" w:rsidRDefault="00E77422" w:rsidP="00174887">
      <w:pPr>
        <w:jc w:val="both"/>
      </w:pPr>
      <w:r>
        <w:t xml:space="preserve">Byla zrušena lhůta 10 dnů pro odůvodněný předpoklad vzniku povinnosti </w:t>
      </w:r>
      <w:r w:rsidR="00DC0734">
        <w:t>úhrady daně na stejném osobním daňovém účtu.</w:t>
      </w:r>
      <w:r w:rsidR="00A35B91">
        <w:t xml:space="preserve"> </w:t>
      </w:r>
      <w:r w:rsidR="00174887">
        <w:t>Při výkladu p</w:t>
      </w:r>
      <w:r w:rsidR="00174887">
        <w:rPr>
          <w:lang w:val="en"/>
        </w:rPr>
        <w:t>ojmu</w:t>
      </w:r>
      <w:r w:rsidR="00A35B91">
        <w:rPr>
          <w:lang w:val="en"/>
        </w:rPr>
        <w:t xml:space="preserve"> „odůvodněný předpoklad vzniku povinnosti uhradit daň“ je </w:t>
      </w:r>
      <w:r w:rsidR="00174887">
        <w:rPr>
          <w:lang w:val="en"/>
        </w:rPr>
        <w:t>nutno</w:t>
      </w:r>
      <w:r w:rsidR="00A35B91">
        <w:rPr>
          <w:lang w:val="en"/>
        </w:rPr>
        <w:t xml:space="preserve"> </w:t>
      </w:r>
      <w:r w:rsidR="00174887">
        <w:rPr>
          <w:lang w:val="en"/>
        </w:rPr>
        <w:t>zohlednit časový aspekt</w:t>
      </w:r>
      <w:r w:rsidR="00A35B91">
        <w:rPr>
          <w:lang w:val="en"/>
        </w:rPr>
        <w:t xml:space="preserve"> a </w:t>
      </w:r>
      <w:r w:rsidR="00174887">
        <w:rPr>
          <w:lang w:val="en"/>
        </w:rPr>
        <w:t>také</w:t>
      </w:r>
      <w:r w:rsidR="00A35B91">
        <w:rPr>
          <w:lang w:val="en"/>
        </w:rPr>
        <w:t xml:space="preserve"> předpokládanou vůli daňového subjektu.</w:t>
      </w:r>
    </w:p>
    <w:p w:rsidR="00DC0734" w:rsidRDefault="0029487D" w:rsidP="00E77422">
      <w:r>
        <w:t>Odůvodněný předpoklad</w:t>
      </w:r>
      <w:r w:rsidR="00DC0734">
        <w:t xml:space="preserve"> – příklad:</w:t>
      </w:r>
    </w:p>
    <w:p w:rsidR="00DC0734" w:rsidRDefault="00DC0734" w:rsidP="00174887">
      <w:pPr>
        <w:jc w:val="both"/>
      </w:pPr>
      <w:r>
        <w:t>Místní popla</w:t>
      </w:r>
      <w:r w:rsidR="00C66BC7">
        <w:t>tek ze psů je splatný do 15. 1.</w:t>
      </w:r>
      <w:r>
        <w:t>, ale poplatník zaplatí již v prosinci – na osobním</w:t>
      </w:r>
      <w:r w:rsidR="001C2D76">
        <w:t xml:space="preserve"> daňovém účtu tedy má přeplatek</w:t>
      </w:r>
      <w:r>
        <w:t xml:space="preserve">. Pokud má nedoplatek na jiném osobním daňovém účtu, nelze </w:t>
      </w:r>
      <w:r w:rsidR="00374236">
        <w:t xml:space="preserve">částku </w:t>
      </w:r>
      <w:r>
        <w:t xml:space="preserve">převést, protože se předpokládá, že s předstihem zaplatil psa. </w:t>
      </w:r>
      <w:r w:rsidRPr="00E10EB1">
        <w:t>V případě,</w:t>
      </w:r>
      <w:r w:rsidR="00174887" w:rsidRPr="00E10EB1">
        <w:t xml:space="preserve"> že pes </w:t>
      </w:r>
      <w:r w:rsidR="001C2D76" w:rsidRPr="00E10EB1">
        <w:t xml:space="preserve">následně </w:t>
      </w:r>
      <w:r w:rsidR="00174887" w:rsidRPr="00E10EB1">
        <w:t>zemřel do 15. 1. a</w:t>
      </w:r>
      <w:r w:rsidR="00374236">
        <w:t> </w:t>
      </w:r>
      <w:r w:rsidR="00174887" w:rsidRPr="00E10EB1">
        <w:t xml:space="preserve">nevznikne </w:t>
      </w:r>
      <w:r w:rsidRPr="00E10EB1">
        <w:t xml:space="preserve">tak </w:t>
      </w:r>
      <w:r w:rsidR="00174887" w:rsidRPr="00E10EB1">
        <w:t xml:space="preserve">celá </w:t>
      </w:r>
      <w:r w:rsidRPr="00E10EB1">
        <w:t xml:space="preserve">poplatková povinnost, lze </w:t>
      </w:r>
      <w:r w:rsidR="00174887" w:rsidRPr="00E10EB1">
        <w:t xml:space="preserve">nevyužitou část poplatku </w:t>
      </w:r>
      <w:r w:rsidRPr="00E10EB1">
        <w:t>převést na úhradu nedoplatku na jiném osobním daňovém účtu.</w:t>
      </w:r>
      <w:r w:rsidR="00E10EB1">
        <w:t xml:space="preserve"> </w:t>
      </w:r>
    </w:p>
    <w:p w:rsidR="0029487D" w:rsidRDefault="0029487D" w:rsidP="00E77422"/>
    <w:p w:rsidR="0029487D" w:rsidRPr="005E027E" w:rsidRDefault="0029487D" w:rsidP="00E77422">
      <w:pPr>
        <w:rPr>
          <w:b/>
        </w:rPr>
      </w:pPr>
      <w:r w:rsidRPr="005E027E">
        <w:rPr>
          <w:b/>
        </w:rPr>
        <w:t>§ 155</w:t>
      </w:r>
    </w:p>
    <w:p w:rsidR="0029487D" w:rsidRPr="00DB6C2C" w:rsidRDefault="0029487D" w:rsidP="00E77422">
      <w:pPr>
        <w:rPr>
          <w:u w:val="single"/>
        </w:rPr>
      </w:pPr>
      <w:r w:rsidRPr="00DB6C2C">
        <w:rPr>
          <w:u w:val="single"/>
        </w:rPr>
        <w:t>Dříve:</w:t>
      </w:r>
    </w:p>
    <w:tbl>
      <w:tblPr>
        <w:tblW w:w="0" w:type="auto"/>
        <w:tblCellSpacing w:w="0" w:type="dxa"/>
        <w:tblInd w:w="142" w:type="dxa"/>
        <w:tblCellMar>
          <w:left w:w="0" w:type="dxa"/>
          <w:right w:w="0" w:type="dxa"/>
        </w:tblCellMar>
        <w:tblLook w:val="04A0" w:firstRow="1" w:lastRow="0" w:firstColumn="1" w:lastColumn="0" w:noHBand="0" w:noVBand="1"/>
      </w:tblPr>
      <w:tblGrid>
        <w:gridCol w:w="103"/>
        <w:gridCol w:w="8827"/>
      </w:tblGrid>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336F07">
            <w:pPr>
              <w:pStyle w:val="Odstavecseseznamem"/>
              <w:numPr>
                <w:ilvl w:val="0"/>
                <w:numId w:val="3"/>
              </w:numPr>
              <w:spacing w:before="100" w:beforeAutospacing="1" w:after="100" w:afterAutospacing="1" w:line="240" w:lineRule="auto"/>
              <w:rPr>
                <w:rFonts w:eastAsia="Times New Roman" w:cstheme="minorHAnsi"/>
                <w:i/>
                <w:lang w:eastAsia="cs-CZ"/>
              </w:rPr>
            </w:pPr>
            <w:r w:rsidRPr="00BD2B48">
              <w:rPr>
                <w:rFonts w:eastAsia="Times New Roman" w:cstheme="minorHAnsi"/>
                <w:bCs/>
                <w:i/>
                <w:lang w:eastAsia="cs-CZ"/>
              </w:rPr>
              <w:t>Daňový subjekt je oprávněn požádat správce daně, u něhož má vratitelný přeplatek, o použití tohoto přeplatku na úhradu nedoplatku, který má u jiného správce daně, nebo na úhradu nedoplatku jiného daňového subjektu u téhož nebo jiného správce daně, anebo na úhradu zálohy, jejíž výše se předepíše na debetní stranu osobního daňového účtu na základě uhrazené částky. Je-li této žádosti vyhověno, považuje se za den úhrady nedoplatku nebo zálohy den, kdy došla žádost správci daně.</w:t>
            </w:r>
          </w:p>
        </w:tc>
      </w:tr>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29487D">
            <w:pPr>
              <w:pStyle w:val="Odstavecseseznamem"/>
              <w:numPr>
                <w:ilvl w:val="0"/>
                <w:numId w:val="3"/>
              </w:numPr>
              <w:spacing w:before="100" w:beforeAutospacing="1" w:after="100" w:afterAutospacing="1" w:line="240" w:lineRule="auto"/>
              <w:rPr>
                <w:rFonts w:eastAsia="Times New Roman" w:cstheme="minorHAnsi"/>
                <w:bCs/>
                <w:i/>
                <w:lang w:eastAsia="cs-CZ"/>
              </w:rPr>
            </w:pPr>
            <w:r w:rsidRPr="00BD2B48">
              <w:rPr>
                <w:rFonts w:eastAsia="Times New Roman" w:cstheme="minorHAnsi"/>
                <w:bCs/>
                <w:i/>
                <w:lang w:eastAsia="cs-CZ"/>
              </w:rPr>
              <w:t>Správce daně vrátí daňovému subjektu vratitelný přeplatek na základě žádosti daňového subjektu o vrácení vratitelného přeplatku, nebo pokud tak stanoví zákon. Správce daně vratitelný přeplatek nižší než 100 Kč daňovému subjektu vrátí jen ve výjimečných případech tak, aby byla zajištěna zásada hospodárnosti.</w:t>
            </w:r>
          </w:p>
        </w:tc>
      </w:tr>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29487D">
            <w:pPr>
              <w:pStyle w:val="Odstavecseseznamem"/>
              <w:numPr>
                <w:ilvl w:val="0"/>
                <w:numId w:val="3"/>
              </w:numPr>
              <w:spacing w:before="100" w:beforeAutospacing="1" w:after="100" w:afterAutospacing="1" w:line="240" w:lineRule="auto"/>
              <w:rPr>
                <w:rFonts w:eastAsia="Times New Roman" w:cstheme="minorHAnsi"/>
                <w:i/>
                <w:lang w:eastAsia="cs-CZ"/>
              </w:rPr>
            </w:pPr>
            <w:r w:rsidRPr="00BD2B48">
              <w:rPr>
                <w:rFonts w:eastAsia="Times New Roman" w:cstheme="minorHAnsi"/>
                <w:bCs/>
                <w:i/>
                <w:lang w:eastAsia="cs-CZ"/>
              </w:rPr>
              <w:t xml:space="preserve">Pokud v době podání žádosti o vrácení vratitelného přeplatku dosahuje vratitelný přeplatek nejméně částku 100 Kč, poukáže jej správce daně do 30 dnů ode dne obdržení žádosti podle odstavce 2, v opačném případě žádosti vyhoví, pouze pokud vratitelný přeplatek této částky dosáhne do 60 dnů ode dne podání žádosti; lhůta pro jeho vrácení počíná běžet až ode dne následujícího po dosažení této částky. Je-li daňový subjekt u správce daně </w:t>
            </w:r>
            <w:r w:rsidRPr="00BD2B48">
              <w:rPr>
                <w:rFonts w:eastAsia="Times New Roman" w:cstheme="minorHAnsi"/>
                <w:bCs/>
                <w:i/>
                <w:lang w:eastAsia="cs-CZ"/>
              </w:rPr>
              <w:lastRenderedPageBreak/>
              <w:t>registrován, je povinen určit k vrácení přeplatku jeden z účtů u poskytovatelů platebních služeb uvedených v registraci.</w:t>
            </w:r>
          </w:p>
        </w:tc>
      </w:tr>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29487D">
            <w:pPr>
              <w:pStyle w:val="Odstavecseseznamem"/>
              <w:numPr>
                <w:ilvl w:val="0"/>
                <w:numId w:val="3"/>
              </w:numPr>
              <w:spacing w:before="100" w:beforeAutospacing="1" w:after="100" w:afterAutospacing="1" w:line="240" w:lineRule="auto"/>
              <w:rPr>
                <w:rFonts w:eastAsia="Times New Roman" w:cstheme="minorHAnsi"/>
                <w:i/>
                <w:lang w:eastAsia="cs-CZ"/>
              </w:rPr>
            </w:pPr>
            <w:r w:rsidRPr="00BD2B48">
              <w:rPr>
                <w:rFonts w:eastAsia="Times New Roman" w:cstheme="minorHAnsi"/>
                <w:bCs/>
                <w:i/>
                <w:lang w:eastAsia="cs-CZ"/>
              </w:rPr>
              <w:t xml:space="preserve">Proti </w:t>
            </w:r>
            <w:r w:rsidRPr="00BD2B48">
              <w:rPr>
                <w:rFonts w:eastAsia="Times New Roman" w:cstheme="minorHAnsi"/>
                <w:b/>
                <w:bCs/>
                <w:i/>
                <w:lang w:eastAsia="cs-CZ"/>
              </w:rPr>
              <w:t>rozhodnutí</w:t>
            </w:r>
            <w:r w:rsidRPr="00BD2B48">
              <w:rPr>
                <w:rFonts w:eastAsia="Times New Roman" w:cstheme="minorHAnsi"/>
                <w:bCs/>
                <w:i/>
                <w:lang w:eastAsia="cs-CZ"/>
              </w:rPr>
              <w:t xml:space="preserve"> správce daně o žádosti podle odstavců 1 a 2 se lze odvolat do 15 dnů ode dne jeho doručení. Vyhoví-li správce daně v plném rozsahu této žádosti, rozhodnutí daňovému subjektu neoznamuje, pokud o to není v žádosti výslovně požádán. Za den vydání rozhodnutí o žádosti, které bylo v plném rozsahu vyhověno, a současně za den jeho oznámení daňovému subjektu se považuje den, který následuje po dni doručení žádosti správci daně; proti tomuto rozhodnutí nelze uplatnit opravné prostředky.</w:t>
            </w:r>
          </w:p>
        </w:tc>
      </w:tr>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29487D">
            <w:pPr>
              <w:pStyle w:val="Odstavecseseznamem"/>
              <w:numPr>
                <w:ilvl w:val="0"/>
                <w:numId w:val="3"/>
              </w:numPr>
              <w:spacing w:before="100" w:beforeAutospacing="1" w:after="100" w:afterAutospacing="1" w:line="240" w:lineRule="auto"/>
              <w:rPr>
                <w:rFonts w:eastAsia="Times New Roman" w:cstheme="minorHAnsi"/>
                <w:i/>
                <w:lang w:eastAsia="cs-CZ"/>
              </w:rPr>
            </w:pPr>
            <w:r w:rsidRPr="00BD2B48">
              <w:rPr>
                <w:rFonts w:eastAsia="Times New Roman" w:cstheme="minorHAnsi"/>
                <w:bCs/>
                <w:i/>
                <w:lang w:eastAsia="cs-CZ"/>
              </w:rPr>
              <w:t>Je-li poukazován správcem daně vratitelný přeplatek na žádost po lhůtě stanovené v odstavci 3 nebo po lhůtě stanovené zákonem pro vrácení vratitelného přeplatku, který se vrací bez žádosti, náleží daňovému subjektu úrok z vratitelného přeplatku, který odpovídá ročně výši repo sazby stanovené Českou národní bankou, zvýšené o 14 procentních bodů, platné pro první den příslušného kalendářního pololetí. Tento úrok daňovému subjektu náleží ode dne následujícího po dni, ve kterém uplynula stanovená lhůta pro vrácení vratitelného přeplatku, do dne jeho poukázání daňovému subjektu. Úrok se nepřizná, nepřesahuje-li 100 Kč. O výši úroku rozhodne správce daně bezodkladně po vrácení tohoto přeplatku; § 254 odst. 3 a 6 se použijí obdobně.</w:t>
            </w:r>
          </w:p>
        </w:tc>
      </w:tr>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29487D">
            <w:pPr>
              <w:pStyle w:val="Odstavecseseznamem"/>
              <w:numPr>
                <w:ilvl w:val="0"/>
                <w:numId w:val="3"/>
              </w:numPr>
              <w:spacing w:before="100" w:beforeAutospacing="1" w:after="100" w:afterAutospacing="1" w:line="240" w:lineRule="auto"/>
              <w:rPr>
                <w:rFonts w:eastAsia="Times New Roman" w:cstheme="minorHAnsi"/>
                <w:i/>
                <w:lang w:eastAsia="cs-CZ"/>
              </w:rPr>
            </w:pPr>
            <w:r w:rsidRPr="00BD2B48">
              <w:rPr>
                <w:rFonts w:eastAsia="Times New Roman" w:cstheme="minorHAnsi"/>
                <w:bCs/>
                <w:i/>
                <w:lang w:eastAsia="cs-CZ"/>
              </w:rPr>
              <w:t>Za den poukázání vratitelného přeplatku se považuje den, kdy došlo k jeho odepsání z účtu správce daně. Vratitelný přeplatek poukazuje správce daně v české měně ve výši, v jaké byl evidován, a to bezhotovostním převodem na účet vedený u poskytovatele platebních služeb nebo poštovním poukazem; v případě bezhotovostního převodu na účet vedený u poskytovatele platebních služeb mimo území států Evropské unie hradí náklady převodu daňový subjekt.</w:t>
            </w:r>
          </w:p>
        </w:tc>
      </w:tr>
      <w:tr w:rsidR="0029487D" w:rsidRPr="0029487D" w:rsidTr="0029487D">
        <w:trPr>
          <w:tblCellSpacing w:w="0" w:type="dxa"/>
        </w:trPr>
        <w:tc>
          <w:tcPr>
            <w:tcW w:w="103" w:type="dxa"/>
            <w:vAlign w:val="center"/>
            <w:hideMark/>
          </w:tcPr>
          <w:p w:rsidR="0029487D" w:rsidRPr="0029487D" w:rsidRDefault="0029487D" w:rsidP="0029487D">
            <w:pPr>
              <w:spacing w:after="0" w:line="240" w:lineRule="auto"/>
              <w:rPr>
                <w:rFonts w:eastAsia="Times New Roman" w:cstheme="minorHAnsi"/>
                <w:bCs/>
                <w:lang w:eastAsia="cs-CZ"/>
              </w:rPr>
            </w:pPr>
          </w:p>
        </w:tc>
        <w:tc>
          <w:tcPr>
            <w:tcW w:w="0" w:type="auto"/>
            <w:vAlign w:val="center"/>
            <w:hideMark/>
          </w:tcPr>
          <w:p w:rsidR="0029487D" w:rsidRPr="00BD2B48" w:rsidRDefault="0029487D" w:rsidP="00374236">
            <w:pPr>
              <w:pStyle w:val="Odstavecseseznamem"/>
              <w:numPr>
                <w:ilvl w:val="0"/>
                <w:numId w:val="3"/>
              </w:numPr>
              <w:spacing w:before="100" w:beforeAutospacing="1" w:after="100" w:afterAutospacing="1" w:line="240" w:lineRule="auto"/>
              <w:rPr>
                <w:rFonts w:eastAsia="Times New Roman" w:cstheme="minorHAnsi"/>
                <w:i/>
                <w:lang w:eastAsia="cs-CZ"/>
              </w:rPr>
            </w:pPr>
            <w:r w:rsidRPr="00BD2B48">
              <w:rPr>
                <w:rFonts w:eastAsia="Times New Roman" w:cstheme="minorHAnsi"/>
                <w:bCs/>
                <w:i/>
                <w:lang w:eastAsia="cs-CZ"/>
              </w:rPr>
              <w:t>Nepožádá-li daňový subjekt o vrácení vratitelného přeplatku do 6 let od konce roku, ve kterém přeplatek vznikl, přeplatek zaniká a stává se příjmem rozpočtu, ze kterého je hrazena činnost správce daně, který o něm evidoval.</w:t>
            </w:r>
            <w:r w:rsidR="00374236" w:rsidRPr="00BD2B48">
              <w:rPr>
                <w:rFonts w:eastAsia="Times New Roman" w:cstheme="minorHAnsi"/>
                <w:i/>
                <w:lang w:eastAsia="cs-CZ"/>
              </w:rPr>
              <w:t xml:space="preserve"> </w:t>
            </w:r>
          </w:p>
        </w:tc>
      </w:tr>
    </w:tbl>
    <w:p w:rsidR="0029487D" w:rsidRPr="00DB6C2C" w:rsidRDefault="0029487D" w:rsidP="00E77422">
      <w:pPr>
        <w:rPr>
          <w:rFonts w:cstheme="minorHAnsi"/>
          <w:u w:val="single"/>
        </w:rPr>
      </w:pPr>
      <w:r w:rsidRPr="00DB6C2C">
        <w:rPr>
          <w:rFonts w:cstheme="minorHAnsi"/>
          <w:u w:val="single"/>
        </w:rPr>
        <w:t>Nyní:</w:t>
      </w:r>
    </w:p>
    <w:tbl>
      <w:tblPr>
        <w:tblW w:w="0" w:type="auto"/>
        <w:tblCellSpacing w:w="0" w:type="dxa"/>
        <w:tblInd w:w="-142" w:type="dxa"/>
        <w:tblCellMar>
          <w:left w:w="0" w:type="dxa"/>
          <w:right w:w="0" w:type="dxa"/>
        </w:tblCellMar>
        <w:tblLook w:val="04A0" w:firstRow="1" w:lastRow="0" w:firstColumn="1" w:lastColumn="0" w:noHBand="0" w:noVBand="1"/>
      </w:tblPr>
      <w:tblGrid>
        <w:gridCol w:w="284"/>
        <w:gridCol w:w="8930"/>
      </w:tblGrid>
      <w:tr w:rsidR="0029487D" w:rsidRPr="0029487D" w:rsidTr="00336F07">
        <w:trPr>
          <w:tblCellSpacing w:w="0" w:type="dxa"/>
        </w:trPr>
        <w:tc>
          <w:tcPr>
            <w:tcW w:w="284" w:type="dxa"/>
            <w:vAlign w:val="center"/>
            <w:hideMark/>
          </w:tcPr>
          <w:p w:rsidR="0029487D" w:rsidRPr="0029487D" w:rsidRDefault="0029487D" w:rsidP="0029487D">
            <w:pPr>
              <w:spacing w:after="0" w:line="240" w:lineRule="auto"/>
              <w:rPr>
                <w:rFonts w:ascii="Times New Roman" w:eastAsia="Times New Roman" w:hAnsi="Times New Roman" w:cs="Times New Roman"/>
                <w:sz w:val="24"/>
                <w:szCs w:val="24"/>
                <w:lang w:eastAsia="cs-CZ"/>
              </w:rPr>
            </w:pPr>
          </w:p>
        </w:tc>
        <w:tc>
          <w:tcPr>
            <w:tcW w:w="8930" w:type="dxa"/>
            <w:vAlign w:val="center"/>
            <w:hideMark/>
          </w:tcPr>
          <w:p w:rsidR="0029487D" w:rsidRPr="00BD2B48" w:rsidRDefault="0029487D"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1) Daňový subjekt je oprávněn požádat správce daně o</w:t>
            </w:r>
          </w:p>
          <w:tbl>
            <w:tblPr>
              <w:tblW w:w="8832" w:type="dxa"/>
              <w:tblCellSpacing w:w="0" w:type="dxa"/>
              <w:tblCellMar>
                <w:left w:w="0" w:type="dxa"/>
                <w:right w:w="0" w:type="dxa"/>
              </w:tblCellMar>
              <w:tblLook w:val="04A0" w:firstRow="1" w:lastRow="0" w:firstColumn="1" w:lastColumn="0" w:noHBand="0" w:noVBand="1"/>
            </w:tblPr>
            <w:tblGrid>
              <w:gridCol w:w="180"/>
              <w:gridCol w:w="8652"/>
            </w:tblGrid>
            <w:tr w:rsidR="0029487D" w:rsidRPr="00BD2B48" w:rsidTr="0029487D">
              <w:trPr>
                <w:tblCellSpacing w:w="0" w:type="dxa"/>
              </w:trPr>
              <w:tc>
                <w:tcPr>
                  <w:tcW w:w="20" w:type="dxa"/>
                  <w:vAlign w:val="center"/>
                  <w:hideMark/>
                </w:tcPr>
                <w:p w:rsidR="0029487D" w:rsidRPr="00BD2B48" w:rsidRDefault="0029487D" w:rsidP="0029487D">
                  <w:pPr>
                    <w:spacing w:after="0" w:line="240" w:lineRule="auto"/>
                    <w:rPr>
                      <w:rFonts w:eastAsia="Times New Roman" w:cstheme="minorHAnsi"/>
                      <w:i/>
                      <w:lang w:eastAsia="cs-CZ"/>
                    </w:rPr>
                  </w:pPr>
                  <w:r w:rsidRPr="00BD2B48">
                    <w:rPr>
                      <w:rFonts w:eastAsia="Times New Roman" w:cstheme="minorHAnsi"/>
                      <w:i/>
                      <w:lang w:eastAsia="cs-CZ"/>
                    </w:rPr>
                    <w:t>a)</w:t>
                  </w:r>
                </w:p>
              </w:tc>
              <w:tc>
                <w:tcPr>
                  <w:tcW w:w="8812" w:type="dxa"/>
                  <w:vAlign w:val="center"/>
                  <w:hideMark/>
                </w:tcPr>
                <w:p w:rsidR="0029487D" w:rsidRPr="00BD2B48" w:rsidRDefault="0029487D"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vrácení vratitelného přeplatku,</w:t>
                  </w:r>
                </w:p>
              </w:tc>
            </w:tr>
            <w:tr w:rsidR="0029487D" w:rsidRPr="00BD2B48" w:rsidTr="0029487D">
              <w:trPr>
                <w:tblCellSpacing w:w="0" w:type="dxa"/>
              </w:trPr>
              <w:tc>
                <w:tcPr>
                  <w:tcW w:w="20" w:type="dxa"/>
                  <w:vAlign w:val="center"/>
                  <w:hideMark/>
                </w:tcPr>
                <w:p w:rsidR="0029487D" w:rsidRPr="00BD2B48" w:rsidRDefault="0029487D" w:rsidP="0029487D">
                  <w:pPr>
                    <w:spacing w:after="0" w:line="240" w:lineRule="auto"/>
                    <w:rPr>
                      <w:rFonts w:eastAsia="Times New Roman" w:cstheme="minorHAnsi"/>
                      <w:i/>
                      <w:lang w:eastAsia="cs-CZ"/>
                    </w:rPr>
                  </w:pPr>
                </w:p>
              </w:tc>
              <w:tc>
                <w:tcPr>
                  <w:tcW w:w="8812" w:type="dxa"/>
                  <w:vAlign w:val="center"/>
                  <w:hideMark/>
                </w:tcPr>
                <w:p w:rsidR="0029487D" w:rsidRPr="00BD2B48" w:rsidRDefault="0029487D"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b) použití vratitelného přeplatku na úhradu</w:t>
                  </w:r>
                  <w:r w:rsidR="00DB6C2C">
                    <w:rPr>
                      <w:rFonts w:eastAsia="Times New Roman" w:cstheme="minorHAnsi"/>
                      <w:i/>
                      <w:lang w:eastAsia="cs-CZ"/>
                    </w:rPr>
                    <w:t>:</w:t>
                  </w:r>
                </w:p>
                <w:tbl>
                  <w:tblPr>
                    <w:tblW w:w="0" w:type="auto"/>
                    <w:tblCellSpacing w:w="0" w:type="dxa"/>
                    <w:tblCellMar>
                      <w:left w:w="0" w:type="dxa"/>
                      <w:right w:w="0" w:type="dxa"/>
                    </w:tblCellMar>
                    <w:tblLook w:val="04A0" w:firstRow="1" w:lastRow="0" w:firstColumn="1" w:lastColumn="0" w:noHBand="0" w:noVBand="1"/>
                  </w:tblPr>
                  <w:tblGrid>
                    <w:gridCol w:w="168"/>
                    <w:gridCol w:w="8484"/>
                  </w:tblGrid>
                  <w:tr w:rsidR="0029487D" w:rsidRPr="00BD2B48">
                    <w:trPr>
                      <w:tblCellSpacing w:w="0" w:type="dxa"/>
                    </w:trPr>
                    <w:tc>
                      <w:tcPr>
                        <w:tcW w:w="0" w:type="auto"/>
                        <w:vAlign w:val="center"/>
                        <w:hideMark/>
                      </w:tcPr>
                      <w:p w:rsidR="0029487D" w:rsidRPr="00BD2B48" w:rsidRDefault="0029487D" w:rsidP="0029487D">
                        <w:pPr>
                          <w:spacing w:after="0" w:line="240" w:lineRule="auto"/>
                          <w:rPr>
                            <w:rFonts w:eastAsia="Times New Roman" w:cstheme="minorHAnsi"/>
                            <w:i/>
                            <w:lang w:eastAsia="cs-CZ"/>
                          </w:rPr>
                        </w:pPr>
                        <w:r w:rsidRPr="00BD2B48">
                          <w:rPr>
                            <w:rFonts w:eastAsia="Times New Roman" w:cstheme="minorHAnsi"/>
                            <w:i/>
                            <w:lang w:eastAsia="cs-CZ"/>
                          </w:rPr>
                          <w:t>1.</w:t>
                        </w:r>
                      </w:p>
                    </w:tc>
                    <w:tc>
                      <w:tcPr>
                        <w:tcW w:w="0" w:type="auto"/>
                        <w:vAlign w:val="center"/>
                        <w:hideMark/>
                      </w:tcPr>
                      <w:p w:rsidR="005A7904" w:rsidRPr="00BD2B48" w:rsidRDefault="005A7904"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 xml:space="preserve"> </w:t>
                        </w:r>
                        <w:r w:rsidR="0029487D" w:rsidRPr="00BD2B48">
                          <w:rPr>
                            <w:rFonts w:eastAsia="Times New Roman" w:cstheme="minorHAnsi"/>
                            <w:i/>
                            <w:lang w:eastAsia="cs-CZ"/>
                          </w:rPr>
                          <w:t>nedoplatku jiného daňového subjektu u téhož nebo jiného správce daně,</w:t>
                        </w:r>
                      </w:p>
                    </w:tc>
                  </w:tr>
                  <w:tr w:rsidR="0029487D" w:rsidRPr="00BD2B48">
                    <w:trPr>
                      <w:tblCellSpacing w:w="0" w:type="dxa"/>
                    </w:trPr>
                    <w:tc>
                      <w:tcPr>
                        <w:tcW w:w="0" w:type="auto"/>
                        <w:vAlign w:val="center"/>
                        <w:hideMark/>
                      </w:tcPr>
                      <w:p w:rsidR="0029487D" w:rsidRPr="00BD2B48" w:rsidRDefault="0029487D" w:rsidP="0029487D">
                        <w:pPr>
                          <w:spacing w:after="0" w:line="240" w:lineRule="auto"/>
                          <w:rPr>
                            <w:rFonts w:eastAsia="Times New Roman" w:cstheme="minorHAnsi"/>
                            <w:i/>
                            <w:lang w:eastAsia="cs-CZ"/>
                          </w:rPr>
                        </w:pPr>
                      </w:p>
                    </w:tc>
                    <w:tc>
                      <w:tcPr>
                        <w:tcW w:w="0" w:type="auto"/>
                        <w:vAlign w:val="center"/>
                        <w:hideMark/>
                      </w:tcPr>
                      <w:p w:rsidR="0029487D" w:rsidRPr="00BD2B48" w:rsidRDefault="005A7904"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 xml:space="preserve">2. </w:t>
                        </w:r>
                        <w:r w:rsidR="0029487D" w:rsidRPr="00BD2B48">
                          <w:rPr>
                            <w:rFonts w:eastAsia="Times New Roman" w:cstheme="minorHAnsi"/>
                            <w:i/>
                            <w:lang w:eastAsia="cs-CZ"/>
                          </w:rPr>
                          <w:t>zálohy, jejíž výše se předepíše na debetní stranu osobního daňového účtu na základě uhrazené částky,</w:t>
                        </w:r>
                      </w:p>
                    </w:tc>
                  </w:tr>
                </w:tbl>
                <w:p w:rsidR="0029487D" w:rsidRPr="00BD2B48" w:rsidRDefault="0029487D" w:rsidP="0029487D">
                  <w:pPr>
                    <w:spacing w:after="0" w:line="240" w:lineRule="auto"/>
                    <w:rPr>
                      <w:rFonts w:eastAsia="Times New Roman" w:cstheme="minorHAnsi"/>
                      <w:i/>
                      <w:lang w:eastAsia="cs-CZ"/>
                    </w:rPr>
                  </w:pPr>
                </w:p>
              </w:tc>
            </w:tr>
            <w:tr w:rsidR="0029487D" w:rsidRPr="00BD2B48" w:rsidTr="0029487D">
              <w:trPr>
                <w:tblCellSpacing w:w="0" w:type="dxa"/>
              </w:trPr>
              <w:tc>
                <w:tcPr>
                  <w:tcW w:w="20" w:type="dxa"/>
                  <w:vAlign w:val="center"/>
                  <w:hideMark/>
                </w:tcPr>
                <w:p w:rsidR="0029487D" w:rsidRPr="00BD2B48" w:rsidRDefault="0029487D" w:rsidP="0029487D">
                  <w:pPr>
                    <w:spacing w:after="0" w:line="240" w:lineRule="auto"/>
                    <w:rPr>
                      <w:rFonts w:eastAsia="Times New Roman" w:cstheme="minorHAnsi"/>
                      <w:i/>
                      <w:lang w:eastAsia="cs-CZ"/>
                    </w:rPr>
                  </w:pPr>
                  <w:r w:rsidRPr="00BD2B48">
                    <w:rPr>
                      <w:rFonts w:eastAsia="Times New Roman" w:cstheme="minorHAnsi"/>
                      <w:i/>
                      <w:lang w:eastAsia="cs-CZ"/>
                    </w:rPr>
                    <w:t>c)</w:t>
                  </w:r>
                </w:p>
              </w:tc>
              <w:tc>
                <w:tcPr>
                  <w:tcW w:w="8812" w:type="dxa"/>
                  <w:vAlign w:val="center"/>
                  <w:hideMark/>
                </w:tcPr>
                <w:p w:rsidR="0029487D" w:rsidRPr="00BD2B48" w:rsidRDefault="0029487D" w:rsidP="0029487D">
                  <w:pPr>
                    <w:spacing w:before="100" w:beforeAutospacing="1" w:after="100" w:afterAutospacing="1" w:line="240" w:lineRule="auto"/>
                    <w:rPr>
                      <w:rFonts w:eastAsia="Times New Roman" w:cstheme="minorHAnsi"/>
                      <w:b/>
                      <w:i/>
                      <w:lang w:eastAsia="cs-CZ"/>
                    </w:rPr>
                  </w:pPr>
                  <w:r w:rsidRPr="00BD2B48">
                    <w:rPr>
                      <w:rFonts w:eastAsia="Times New Roman" w:cstheme="minorHAnsi"/>
                      <w:b/>
                      <w:i/>
                      <w:lang w:eastAsia="cs-CZ"/>
                    </w:rPr>
                    <w:t>převod vratitelného přeplatku na jiný osobní daňový účet u téhož nebo jiného správce daně.</w:t>
                  </w:r>
                </w:p>
              </w:tc>
            </w:tr>
          </w:tbl>
          <w:p w:rsidR="0029487D" w:rsidRPr="00BD2B48" w:rsidRDefault="0029487D" w:rsidP="0029487D">
            <w:pPr>
              <w:spacing w:after="0" w:line="240" w:lineRule="auto"/>
              <w:rPr>
                <w:rFonts w:eastAsia="Times New Roman" w:cstheme="minorHAnsi"/>
                <w:i/>
                <w:lang w:eastAsia="cs-CZ"/>
              </w:rPr>
            </w:pPr>
          </w:p>
        </w:tc>
      </w:tr>
      <w:tr w:rsidR="0029487D" w:rsidRPr="0029487D" w:rsidTr="00336F07">
        <w:trPr>
          <w:tblCellSpacing w:w="0" w:type="dxa"/>
        </w:trPr>
        <w:tc>
          <w:tcPr>
            <w:tcW w:w="284" w:type="dxa"/>
            <w:vAlign w:val="center"/>
            <w:hideMark/>
          </w:tcPr>
          <w:p w:rsidR="0029487D" w:rsidRPr="0029487D" w:rsidRDefault="0029487D" w:rsidP="0029487D">
            <w:pPr>
              <w:spacing w:after="0" w:line="240" w:lineRule="auto"/>
              <w:rPr>
                <w:rFonts w:ascii="Times New Roman" w:eastAsia="Times New Roman" w:hAnsi="Times New Roman" w:cs="Times New Roman"/>
                <w:sz w:val="24"/>
                <w:szCs w:val="24"/>
                <w:lang w:eastAsia="cs-CZ"/>
              </w:rPr>
            </w:pPr>
          </w:p>
        </w:tc>
        <w:tc>
          <w:tcPr>
            <w:tcW w:w="8930" w:type="dxa"/>
            <w:vAlign w:val="center"/>
            <w:hideMark/>
          </w:tcPr>
          <w:p w:rsidR="005A7904" w:rsidRPr="00BD2B48" w:rsidRDefault="005A7904" w:rsidP="0029487D">
            <w:pPr>
              <w:spacing w:before="100" w:beforeAutospacing="1" w:after="100" w:afterAutospacing="1" w:line="240" w:lineRule="auto"/>
              <w:rPr>
                <w:rFonts w:eastAsia="Times New Roman" w:cstheme="minorHAnsi"/>
                <w:i/>
                <w:lang w:eastAsia="cs-CZ"/>
              </w:rPr>
            </w:pPr>
          </w:p>
          <w:p w:rsidR="0029487D" w:rsidRPr="00BD2B48" w:rsidRDefault="0029487D" w:rsidP="005A7904">
            <w:pPr>
              <w:pStyle w:val="Odstavecseseznamem"/>
              <w:numPr>
                <w:ilvl w:val="0"/>
                <w:numId w:val="7"/>
              </w:num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 xml:space="preserve">Žádosti o vrácení, použití nebo převod vratitelného přeplatku správce daně vyhoví pouze tehdy, pokud vratitelný přeplatek dosahuje v době podání žádosti částku nejméně </w:t>
            </w:r>
            <w:r w:rsidRPr="00BD2B48">
              <w:rPr>
                <w:rFonts w:eastAsia="Times New Roman" w:cstheme="minorHAnsi"/>
                <w:b/>
                <w:i/>
                <w:lang w:eastAsia="cs-CZ"/>
              </w:rPr>
              <w:t>200 Kč</w:t>
            </w:r>
            <w:r w:rsidRPr="00BD2B48">
              <w:rPr>
                <w:rFonts w:eastAsia="Times New Roman" w:cstheme="minorHAnsi"/>
                <w:i/>
                <w:lang w:eastAsia="cs-CZ"/>
              </w:rPr>
              <w:t xml:space="preserve">. </w:t>
            </w:r>
            <w:r w:rsidRPr="00BD2B48">
              <w:rPr>
                <w:rFonts w:eastAsia="Times New Roman" w:cstheme="minorHAnsi"/>
                <w:b/>
                <w:i/>
                <w:lang w:eastAsia="cs-CZ"/>
              </w:rPr>
              <w:t>V opačném případě správce daně žádosti vyhoví pouze tehdy, pokud vratitelný přeplatek této částky dosáhne do 60 dnů ode dne podání žádosti.</w:t>
            </w:r>
          </w:p>
        </w:tc>
      </w:tr>
      <w:tr w:rsidR="0029487D" w:rsidRPr="0029487D" w:rsidTr="00336F07">
        <w:trPr>
          <w:tblCellSpacing w:w="0" w:type="dxa"/>
        </w:trPr>
        <w:tc>
          <w:tcPr>
            <w:tcW w:w="284" w:type="dxa"/>
            <w:vAlign w:val="center"/>
            <w:hideMark/>
          </w:tcPr>
          <w:p w:rsidR="0029487D" w:rsidRPr="0029487D" w:rsidRDefault="0029487D" w:rsidP="0029487D">
            <w:pPr>
              <w:spacing w:after="0" w:line="240" w:lineRule="auto"/>
              <w:rPr>
                <w:rFonts w:ascii="Times New Roman" w:eastAsia="Times New Roman" w:hAnsi="Times New Roman" w:cs="Times New Roman"/>
                <w:sz w:val="24"/>
                <w:szCs w:val="24"/>
                <w:lang w:eastAsia="cs-CZ"/>
              </w:rPr>
            </w:pPr>
          </w:p>
        </w:tc>
        <w:tc>
          <w:tcPr>
            <w:tcW w:w="8930" w:type="dxa"/>
            <w:vAlign w:val="center"/>
            <w:hideMark/>
          </w:tcPr>
          <w:p w:rsidR="0029487D" w:rsidRPr="00BD2B48" w:rsidRDefault="005A7904"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 xml:space="preserve">       3) </w:t>
            </w:r>
            <w:r w:rsidR="0029487D" w:rsidRPr="00BD2B48">
              <w:rPr>
                <w:rFonts w:eastAsia="Times New Roman" w:cstheme="minorHAnsi"/>
                <w:i/>
                <w:lang w:eastAsia="cs-CZ"/>
              </w:rPr>
              <w:t xml:space="preserve">Žádosti o vrácení, použití nebo převod vratitelného přeplatku správce daně </w:t>
            </w:r>
            <w:r w:rsidR="0029487D" w:rsidRPr="00BD2B48">
              <w:rPr>
                <w:rFonts w:eastAsia="Times New Roman" w:cstheme="minorHAnsi"/>
                <w:b/>
                <w:i/>
                <w:lang w:eastAsia="cs-CZ"/>
              </w:rPr>
              <w:t>nevyhoví</w:t>
            </w:r>
            <w:r w:rsidR="0029487D" w:rsidRPr="00BD2B48">
              <w:rPr>
                <w:rFonts w:eastAsia="Times New Roman" w:cstheme="minorHAnsi"/>
                <w:i/>
                <w:lang w:eastAsia="cs-CZ"/>
              </w:rPr>
              <w:t>,</w:t>
            </w:r>
          </w:p>
          <w:tbl>
            <w:tblPr>
              <w:tblW w:w="0" w:type="auto"/>
              <w:tblCellSpacing w:w="0" w:type="dxa"/>
              <w:tblCellMar>
                <w:left w:w="0" w:type="dxa"/>
                <w:right w:w="0" w:type="dxa"/>
              </w:tblCellMar>
              <w:tblLook w:val="04A0" w:firstRow="1" w:lastRow="0" w:firstColumn="1" w:lastColumn="0" w:noHBand="0" w:noVBand="1"/>
            </w:tblPr>
            <w:tblGrid>
              <w:gridCol w:w="20"/>
              <w:gridCol w:w="8812"/>
            </w:tblGrid>
            <w:tr w:rsidR="0029487D" w:rsidRPr="00BD2B48" w:rsidTr="005A7904">
              <w:trPr>
                <w:tblCellSpacing w:w="0" w:type="dxa"/>
              </w:trPr>
              <w:tc>
                <w:tcPr>
                  <w:tcW w:w="20" w:type="dxa"/>
                  <w:vAlign w:val="center"/>
                  <w:hideMark/>
                </w:tcPr>
                <w:p w:rsidR="0029487D" w:rsidRPr="00BD2B48" w:rsidRDefault="0029487D" w:rsidP="0029487D">
                  <w:pPr>
                    <w:spacing w:after="0" w:line="240" w:lineRule="auto"/>
                    <w:rPr>
                      <w:rFonts w:eastAsia="Times New Roman" w:cstheme="minorHAnsi"/>
                      <w:i/>
                      <w:lang w:eastAsia="cs-CZ"/>
                    </w:rPr>
                  </w:pPr>
                </w:p>
              </w:tc>
              <w:tc>
                <w:tcPr>
                  <w:tcW w:w="8812" w:type="dxa"/>
                  <w:vAlign w:val="center"/>
                  <w:hideMark/>
                </w:tcPr>
                <w:p w:rsidR="0029487D" w:rsidRPr="00BD2B48" w:rsidRDefault="0029487D" w:rsidP="005A7904">
                  <w:pPr>
                    <w:pStyle w:val="Odstavecseseznamem"/>
                    <w:numPr>
                      <w:ilvl w:val="0"/>
                      <w:numId w:val="6"/>
                    </w:num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existuje-li odůvodněný předpoklad, že do 1 měsíce ode dne, kdy má být vratitelný přeplatek vrácen, použit nebo převeden, dojde ke vzniku povinnosti uhradit daň na stejném osobním daňovém účtu, nebo</w:t>
                  </w:r>
                </w:p>
              </w:tc>
            </w:tr>
            <w:tr w:rsidR="0029487D" w:rsidRPr="00BD2B48" w:rsidTr="005A7904">
              <w:trPr>
                <w:tblCellSpacing w:w="0" w:type="dxa"/>
              </w:trPr>
              <w:tc>
                <w:tcPr>
                  <w:tcW w:w="20" w:type="dxa"/>
                  <w:vAlign w:val="center"/>
                </w:tcPr>
                <w:p w:rsidR="0029487D" w:rsidRPr="00BD2B48" w:rsidRDefault="0029487D" w:rsidP="0029487D">
                  <w:pPr>
                    <w:spacing w:after="0" w:line="240" w:lineRule="auto"/>
                    <w:rPr>
                      <w:rFonts w:eastAsia="Times New Roman" w:cstheme="minorHAnsi"/>
                      <w:i/>
                      <w:lang w:eastAsia="cs-CZ"/>
                    </w:rPr>
                  </w:pPr>
                </w:p>
              </w:tc>
              <w:tc>
                <w:tcPr>
                  <w:tcW w:w="8812" w:type="dxa"/>
                  <w:vAlign w:val="center"/>
                  <w:hideMark/>
                </w:tcPr>
                <w:p w:rsidR="0029487D" w:rsidRPr="00BD2B48" w:rsidRDefault="0029487D" w:rsidP="005A7904">
                  <w:pPr>
                    <w:pStyle w:val="Odstavecseseznamem"/>
                    <w:numPr>
                      <w:ilvl w:val="0"/>
                      <w:numId w:val="6"/>
                    </w:num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vznikl-li tento vratitelný přeplatek v důsledku uhrazení daně, která dosud nebyla pravomocně stanovena nebo u které dosud neuplynul náhradní den splatnosti.</w:t>
                  </w:r>
                </w:p>
              </w:tc>
            </w:tr>
          </w:tbl>
          <w:p w:rsidR="0029487D" w:rsidRPr="00BD2B48" w:rsidRDefault="0029487D" w:rsidP="0029487D">
            <w:pPr>
              <w:spacing w:after="0" w:line="240" w:lineRule="auto"/>
              <w:rPr>
                <w:rFonts w:eastAsia="Times New Roman" w:cstheme="minorHAnsi"/>
                <w:i/>
                <w:lang w:eastAsia="cs-CZ"/>
              </w:rPr>
            </w:pPr>
          </w:p>
        </w:tc>
      </w:tr>
      <w:tr w:rsidR="0029487D" w:rsidRPr="0029487D" w:rsidTr="00336F07">
        <w:trPr>
          <w:tblCellSpacing w:w="0" w:type="dxa"/>
        </w:trPr>
        <w:tc>
          <w:tcPr>
            <w:tcW w:w="284" w:type="dxa"/>
            <w:vAlign w:val="center"/>
            <w:hideMark/>
          </w:tcPr>
          <w:p w:rsidR="0029487D" w:rsidRPr="0029487D" w:rsidRDefault="0029487D" w:rsidP="0029487D">
            <w:pPr>
              <w:spacing w:after="0" w:line="240" w:lineRule="auto"/>
              <w:rPr>
                <w:rFonts w:ascii="Times New Roman" w:eastAsia="Times New Roman" w:hAnsi="Times New Roman" w:cs="Times New Roman"/>
                <w:sz w:val="24"/>
                <w:szCs w:val="24"/>
                <w:lang w:eastAsia="cs-CZ"/>
              </w:rPr>
            </w:pPr>
          </w:p>
        </w:tc>
        <w:tc>
          <w:tcPr>
            <w:tcW w:w="8930" w:type="dxa"/>
            <w:vAlign w:val="center"/>
            <w:hideMark/>
          </w:tcPr>
          <w:p w:rsidR="0029487D" w:rsidRPr="00BD2B48" w:rsidRDefault="005A7904" w:rsidP="005A7904">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4)</w:t>
            </w:r>
            <w:r w:rsidR="00DB6C2C">
              <w:rPr>
                <w:rFonts w:eastAsia="Times New Roman" w:cstheme="minorHAnsi"/>
                <w:i/>
                <w:lang w:eastAsia="cs-CZ"/>
              </w:rPr>
              <w:t>°</w:t>
            </w:r>
            <w:r w:rsidR="0029487D" w:rsidRPr="00BD2B48">
              <w:rPr>
                <w:rFonts w:eastAsia="Times New Roman" w:cstheme="minorHAnsi"/>
                <w:i/>
                <w:lang w:eastAsia="cs-CZ"/>
              </w:rPr>
              <w:t>Správce daně vratitelný přeplatek nižší než 200 Kč vrátí, použije nebo převede na základě žádosti daňového subjektu, nebo bez žádosti jen ve výjimečných případech tak, aby byla zajištěna zásada hospodárnosti.</w:t>
            </w:r>
          </w:p>
        </w:tc>
      </w:tr>
      <w:tr w:rsidR="0029487D" w:rsidRPr="0029487D" w:rsidTr="00336F07">
        <w:trPr>
          <w:tblCellSpacing w:w="0" w:type="dxa"/>
        </w:trPr>
        <w:tc>
          <w:tcPr>
            <w:tcW w:w="284" w:type="dxa"/>
            <w:vAlign w:val="center"/>
            <w:hideMark/>
          </w:tcPr>
          <w:p w:rsidR="0029487D" w:rsidRPr="0029487D" w:rsidRDefault="0029487D" w:rsidP="0029487D">
            <w:pPr>
              <w:spacing w:after="0" w:line="240" w:lineRule="auto"/>
              <w:rPr>
                <w:rFonts w:ascii="Times New Roman" w:eastAsia="Times New Roman" w:hAnsi="Times New Roman" w:cs="Times New Roman"/>
                <w:sz w:val="24"/>
                <w:szCs w:val="24"/>
                <w:lang w:eastAsia="cs-CZ"/>
              </w:rPr>
            </w:pPr>
          </w:p>
        </w:tc>
        <w:tc>
          <w:tcPr>
            <w:tcW w:w="8930" w:type="dxa"/>
            <w:vAlign w:val="center"/>
            <w:hideMark/>
          </w:tcPr>
          <w:p w:rsidR="0029487D" w:rsidRPr="00BD2B48" w:rsidRDefault="005A7904"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5)</w:t>
            </w:r>
            <w:r w:rsidR="00DB6C2C">
              <w:rPr>
                <w:rFonts w:eastAsia="Times New Roman" w:cstheme="minorHAnsi"/>
                <w:i/>
                <w:lang w:eastAsia="cs-CZ"/>
              </w:rPr>
              <w:t xml:space="preserve"> </w:t>
            </w:r>
            <w:r w:rsidR="0029487D" w:rsidRPr="00BD2B48">
              <w:rPr>
                <w:rFonts w:eastAsia="Times New Roman" w:cstheme="minorHAnsi"/>
                <w:i/>
                <w:lang w:eastAsia="cs-CZ"/>
              </w:rPr>
              <w:t>Nelze-li žádosti o vrácení, použití nebo převod vratitelného přeplatku vyhovět, správce daně o tom daňový subjekt vhodným způsobem vyrozumí.</w:t>
            </w:r>
          </w:p>
        </w:tc>
      </w:tr>
      <w:tr w:rsidR="0029487D" w:rsidRPr="0029487D" w:rsidTr="00336F07">
        <w:trPr>
          <w:tblCellSpacing w:w="0" w:type="dxa"/>
        </w:trPr>
        <w:tc>
          <w:tcPr>
            <w:tcW w:w="284" w:type="dxa"/>
            <w:vAlign w:val="center"/>
            <w:hideMark/>
          </w:tcPr>
          <w:p w:rsidR="0029487D" w:rsidRPr="0029487D" w:rsidRDefault="0029487D" w:rsidP="0029487D">
            <w:pPr>
              <w:spacing w:after="0" w:line="240" w:lineRule="auto"/>
              <w:rPr>
                <w:rFonts w:ascii="Times New Roman" w:eastAsia="Times New Roman" w:hAnsi="Times New Roman" w:cs="Times New Roman"/>
                <w:sz w:val="24"/>
                <w:szCs w:val="24"/>
                <w:lang w:eastAsia="cs-CZ"/>
              </w:rPr>
            </w:pPr>
          </w:p>
        </w:tc>
        <w:tc>
          <w:tcPr>
            <w:tcW w:w="8930" w:type="dxa"/>
            <w:vAlign w:val="center"/>
            <w:hideMark/>
          </w:tcPr>
          <w:p w:rsidR="0029487D" w:rsidRPr="00BD2B48" w:rsidRDefault="005A7904" w:rsidP="0029487D">
            <w:pPr>
              <w:spacing w:before="100" w:beforeAutospacing="1" w:after="100" w:afterAutospacing="1" w:line="240" w:lineRule="auto"/>
              <w:rPr>
                <w:rFonts w:eastAsia="Times New Roman" w:cstheme="minorHAnsi"/>
                <w:i/>
                <w:lang w:eastAsia="cs-CZ"/>
              </w:rPr>
            </w:pPr>
            <w:r w:rsidRPr="00BD2B48">
              <w:rPr>
                <w:rFonts w:eastAsia="Times New Roman" w:cstheme="minorHAnsi"/>
                <w:i/>
                <w:lang w:eastAsia="cs-CZ"/>
              </w:rPr>
              <w:t>6)</w:t>
            </w:r>
            <w:r w:rsidR="00DB6C2C">
              <w:rPr>
                <w:rFonts w:eastAsia="Times New Roman" w:cstheme="minorHAnsi"/>
                <w:i/>
                <w:lang w:eastAsia="cs-CZ"/>
              </w:rPr>
              <w:t xml:space="preserve"> </w:t>
            </w:r>
            <w:r w:rsidR="0029487D" w:rsidRPr="00BD2B48">
              <w:rPr>
                <w:rFonts w:eastAsia="Times New Roman" w:cstheme="minorHAnsi"/>
                <w:i/>
                <w:lang w:eastAsia="cs-CZ"/>
              </w:rPr>
              <w:t>Za den vrácení vratitelného přeplatku se považuje den, kdy došlo k jeho odepsání z účtu správce daně. Účinky změny v evidenci daní v důsledku použití nebo převodu vratitelného přeplatku nastanou ke dni, kdy došla žádost správci daně, nejdříve však ke dni vzniku vratitelného přeplatku.</w:t>
            </w:r>
          </w:p>
        </w:tc>
      </w:tr>
    </w:tbl>
    <w:p w:rsidR="0029487D" w:rsidRPr="0029487D" w:rsidRDefault="0029487D" w:rsidP="00E77422">
      <w:pPr>
        <w:rPr>
          <w:rFonts w:cstheme="minorHAnsi"/>
        </w:rPr>
      </w:pPr>
    </w:p>
    <w:p w:rsidR="00C66BC7" w:rsidRPr="00AB4ACA" w:rsidRDefault="00DB6C2C" w:rsidP="00E77422">
      <w:pPr>
        <w:rPr>
          <w:b/>
        </w:rPr>
      </w:pPr>
      <w:r>
        <w:t>n</w:t>
      </w:r>
      <w:r w:rsidR="00AB4ACA">
        <w:t xml:space="preserve">ově - </w:t>
      </w:r>
      <w:r w:rsidR="00C66BC7">
        <w:t xml:space="preserve"> možnost převést přeplatek na jiný osobní daňový účet u téhož nebo jiného správce </w:t>
      </w:r>
      <w:r w:rsidR="00C66BC7" w:rsidRPr="00AB4ACA">
        <w:rPr>
          <w:b/>
        </w:rPr>
        <w:t>daně i v případě, že na něm není evidován nedoplatek.</w:t>
      </w:r>
    </w:p>
    <w:p w:rsidR="00C66BC7" w:rsidRDefault="00C66BC7" w:rsidP="00AB4ACA">
      <w:pPr>
        <w:jc w:val="both"/>
      </w:pPr>
      <w:r>
        <w:t>Zvýšil se finanční limit pro vrácení přeplatku na 200 Kč, nicméně nejde o nepřekročitelnou hranici</w:t>
      </w:r>
      <w:r w:rsidR="00AB4ACA">
        <w:t xml:space="preserve"> (v</w:t>
      </w:r>
      <w:r w:rsidR="00DB6C2C">
        <w:t> </w:t>
      </w:r>
      <w:r w:rsidR="00AB4ACA">
        <w:t>odůvodněných případech je</w:t>
      </w:r>
      <w:r>
        <w:t xml:space="preserve"> možné</w:t>
      </w:r>
      <w:r w:rsidR="00AB4ACA">
        <w:t xml:space="preserve"> vrátit i nižší částku</w:t>
      </w:r>
      <w:r>
        <w:t xml:space="preserve">). Správce daně by </w:t>
      </w:r>
      <w:r w:rsidR="00AB4ACA">
        <w:t xml:space="preserve">však měl 60 dnů </w:t>
      </w:r>
      <w:r>
        <w:t xml:space="preserve">od žádosti počkat, aby bylo učiněno zadost zákonem dané lhůtě, a teprve potom </w:t>
      </w:r>
      <w:r w:rsidR="00AB4ACA">
        <w:t xml:space="preserve">daňový subjekt </w:t>
      </w:r>
      <w:r>
        <w:t>vyrozumět.</w:t>
      </w:r>
      <w:r w:rsidR="007E69C3">
        <w:t xml:space="preserve"> L</w:t>
      </w:r>
      <w:r w:rsidR="007E69C3">
        <w:rPr>
          <w:lang w:val="en"/>
        </w:rPr>
        <w:t>hůta pro vrácení vratitelného přeplatku v tomto případě počíná běžet až ode dne následujícího po dosažení uvedené částky.</w:t>
      </w:r>
    </w:p>
    <w:p w:rsidR="00C66BC7" w:rsidRDefault="00AB4ACA" w:rsidP="00AB4ACA">
      <w:pPr>
        <w:jc w:val="both"/>
        <w:rPr>
          <w:lang w:val="en"/>
        </w:rPr>
      </w:pPr>
      <w:r>
        <w:rPr>
          <w:lang w:val="en"/>
        </w:rPr>
        <w:t xml:space="preserve">Dispozice </w:t>
      </w:r>
      <w:r w:rsidR="00C66BC7">
        <w:rPr>
          <w:lang w:val="en"/>
        </w:rPr>
        <w:t xml:space="preserve">s vratitelným přeplatkem podle tohoto pravidla není možná v případě, kdy existuje odůvodněný předpoklad, že dojde ke </w:t>
      </w:r>
      <w:r>
        <w:rPr>
          <w:lang w:val="en"/>
        </w:rPr>
        <w:t xml:space="preserve">vzniku povinnosti uhradit daň na </w:t>
      </w:r>
      <w:r w:rsidR="00C66BC7">
        <w:rPr>
          <w:lang w:val="en"/>
        </w:rPr>
        <w:t>stejném osobním daňovém účtu.</w:t>
      </w:r>
    </w:p>
    <w:p w:rsidR="009E37BE" w:rsidRPr="00AB4ACA" w:rsidRDefault="009E37BE" w:rsidP="009E37BE">
      <w:pPr>
        <w:rPr>
          <w:rFonts w:cstheme="minorHAnsi"/>
          <w:b/>
        </w:rPr>
      </w:pPr>
      <w:r w:rsidRPr="00AB4ACA">
        <w:rPr>
          <w:rFonts w:cstheme="minorHAnsi"/>
          <w:b/>
        </w:rPr>
        <w:t>Bylo upuštěno od i</w:t>
      </w:r>
      <w:r w:rsidR="00AB4ACA">
        <w:rPr>
          <w:rFonts w:cstheme="minorHAnsi"/>
          <w:b/>
        </w:rPr>
        <w:t xml:space="preserve">nstitutu </w:t>
      </w:r>
      <w:r w:rsidR="00AB4ACA" w:rsidRPr="00DB6C2C">
        <w:rPr>
          <w:rFonts w:cstheme="minorHAnsi"/>
          <w:b/>
          <w:u w:val="single"/>
        </w:rPr>
        <w:t>rozhodnutí</w:t>
      </w:r>
      <w:r w:rsidR="00AB4ACA">
        <w:rPr>
          <w:rFonts w:cstheme="minorHAnsi"/>
          <w:b/>
        </w:rPr>
        <w:t xml:space="preserve"> o přeplatku</w:t>
      </w:r>
      <w:r w:rsidRPr="00AB4ACA">
        <w:rPr>
          <w:rFonts w:cstheme="minorHAnsi"/>
          <w:b/>
        </w:rPr>
        <w:t xml:space="preserve">!!!  </w:t>
      </w:r>
    </w:p>
    <w:p w:rsidR="009E37BE" w:rsidRDefault="00374236" w:rsidP="009E37BE">
      <w:pPr>
        <w:rPr>
          <w:rFonts w:cstheme="minorHAnsi"/>
        </w:rPr>
      </w:pPr>
      <w:r>
        <w:rPr>
          <w:rFonts w:cstheme="minorHAnsi"/>
        </w:rPr>
        <w:t xml:space="preserve">Pokud </w:t>
      </w:r>
      <w:r w:rsidR="00DB6C2C">
        <w:rPr>
          <w:rFonts w:cstheme="minorHAnsi"/>
        </w:rPr>
        <w:t>ž</w:t>
      </w:r>
      <w:r w:rsidR="00AB4ACA">
        <w:rPr>
          <w:rFonts w:cstheme="minorHAnsi"/>
        </w:rPr>
        <w:t xml:space="preserve">ádosti vyhověno - </w:t>
      </w:r>
      <w:r w:rsidR="009E37BE">
        <w:rPr>
          <w:rFonts w:cstheme="minorHAnsi"/>
        </w:rPr>
        <w:t xml:space="preserve"> proces končí vrácením, převedením,…</w:t>
      </w:r>
    </w:p>
    <w:p w:rsidR="009E37BE" w:rsidRDefault="00374236" w:rsidP="009E37BE">
      <w:pPr>
        <w:rPr>
          <w:rFonts w:cstheme="minorHAnsi"/>
        </w:rPr>
      </w:pPr>
      <w:r>
        <w:rPr>
          <w:rFonts w:cstheme="minorHAnsi"/>
        </w:rPr>
        <w:t xml:space="preserve">Pokud </w:t>
      </w:r>
      <w:r w:rsidR="00DB6C2C">
        <w:rPr>
          <w:rFonts w:cstheme="minorHAnsi"/>
        </w:rPr>
        <w:t>ž</w:t>
      </w:r>
      <w:r w:rsidR="00AB4ACA">
        <w:rPr>
          <w:rFonts w:cstheme="minorHAnsi"/>
        </w:rPr>
        <w:t xml:space="preserve">ádosti </w:t>
      </w:r>
      <w:r w:rsidR="009E37BE">
        <w:rPr>
          <w:rFonts w:cstheme="minorHAnsi"/>
        </w:rPr>
        <w:t>vyhověno zčásti nebo nevyhověno – neformální vyrozumění, proti kterému lze podat námitku do 30 dnů ode dne vyrozumění (nezbytné je poučit o tom v obsahu vyrozumění).</w:t>
      </w:r>
    </w:p>
    <w:p w:rsidR="009E37BE" w:rsidRPr="00CC075A" w:rsidRDefault="009E37BE" w:rsidP="00CC075A">
      <w:pPr>
        <w:jc w:val="both"/>
        <w:rPr>
          <w:rFonts w:cstheme="minorHAnsi"/>
        </w:rPr>
      </w:pPr>
      <w:r>
        <w:rPr>
          <w:rFonts w:cstheme="minorHAnsi"/>
        </w:rPr>
        <w:t>Daňový subjekt j</w:t>
      </w:r>
      <w:r w:rsidR="00DB6C2C">
        <w:rPr>
          <w:rFonts w:cstheme="minorHAnsi"/>
        </w:rPr>
        <w:t>iž nemusí přeplatek vyčíslovat.</w:t>
      </w:r>
      <w:r w:rsidR="00CC075A">
        <w:rPr>
          <w:rFonts w:cstheme="minorHAnsi"/>
        </w:rPr>
        <w:t xml:space="preserve"> </w:t>
      </w:r>
      <w:r>
        <w:rPr>
          <w:lang w:val="en"/>
        </w:rPr>
        <w:t>Postačí obecně požádat o vratitelný přeplatek (typicky při očekávaném vzniku přeplatku) s tím, že správce daně</w:t>
      </w:r>
      <w:r w:rsidR="00DB6C2C">
        <w:rPr>
          <w:lang w:val="en"/>
        </w:rPr>
        <w:t xml:space="preserve"> </w:t>
      </w:r>
      <w:r>
        <w:rPr>
          <w:lang w:val="en"/>
        </w:rPr>
        <w:t xml:space="preserve">musí provést tzv. test vratitelnosti podle </w:t>
      </w:r>
      <w:hyperlink r:id="rId7" w:history="1">
        <w:r w:rsidRPr="009E37BE">
          <w:rPr>
            <w:rStyle w:val="Hypertextovodkaz"/>
            <w:color w:val="auto"/>
            <w:lang w:val="en"/>
          </w:rPr>
          <w:t>§ 154 daňového řádu</w:t>
        </w:r>
      </w:hyperlink>
      <w:r>
        <w:rPr>
          <w:lang w:val="en"/>
        </w:rPr>
        <w:t xml:space="preserve"> a vůči tomuto přeplatku započíst případné nedoplatky, aby výsledkem byl vratitelný přeplatek, který v souladu s žádostí vrátí v plné výši. </w:t>
      </w:r>
      <w:r w:rsidR="00DB6C2C">
        <w:rPr>
          <w:lang w:val="en"/>
        </w:rPr>
        <w:t>Za uplatnění principu</w:t>
      </w:r>
      <w:r>
        <w:rPr>
          <w:lang w:val="en"/>
        </w:rPr>
        <w:t xml:space="preserve"> dispozice daňového subjektu s vratitelným přeplatkem</w:t>
      </w:r>
      <w:r w:rsidR="00DB6C2C">
        <w:rPr>
          <w:lang w:val="en"/>
        </w:rPr>
        <w:t>,</w:t>
      </w:r>
      <w:r>
        <w:rPr>
          <w:lang w:val="en"/>
        </w:rPr>
        <w:t xml:space="preserve"> může daňový subjekt požádat též o vrácení, použití nebo převedení části vratitelného přeplatku. </w:t>
      </w:r>
    </w:p>
    <w:p w:rsidR="009E37BE" w:rsidRDefault="009E37BE" w:rsidP="009E37BE">
      <w:pPr>
        <w:rPr>
          <w:lang w:val="en"/>
        </w:rPr>
      </w:pPr>
      <w:r>
        <w:rPr>
          <w:lang w:val="en"/>
        </w:rPr>
        <w:t>Přeplatek lze žádat:</w:t>
      </w:r>
    </w:p>
    <w:p w:rsidR="009E37BE" w:rsidRPr="009E37BE" w:rsidRDefault="009E37BE" w:rsidP="009E37BE">
      <w:pPr>
        <w:pStyle w:val="Odstavecseseznamem"/>
        <w:numPr>
          <w:ilvl w:val="0"/>
          <w:numId w:val="1"/>
        </w:numPr>
        <w:rPr>
          <w:lang w:val="en"/>
        </w:rPr>
      </w:pPr>
      <w:r w:rsidRPr="009E37BE">
        <w:rPr>
          <w:lang w:val="en"/>
        </w:rPr>
        <w:t>před jeho vznikem</w:t>
      </w:r>
      <w:r>
        <w:rPr>
          <w:lang w:val="en"/>
        </w:rPr>
        <w:t xml:space="preserve"> -</w:t>
      </w:r>
      <w:r w:rsidRPr="009E37BE">
        <w:rPr>
          <w:rFonts w:cstheme="minorHAnsi"/>
        </w:rPr>
        <w:t xml:space="preserve"> </w:t>
      </w:r>
      <w:r>
        <w:rPr>
          <w:rFonts w:cstheme="minorHAnsi"/>
        </w:rPr>
        <w:t>žádost je podávána společně s daňovým tvrzením a přeplatek je vratkou</w:t>
      </w:r>
    </w:p>
    <w:p w:rsidR="009E37BE" w:rsidRPr="009E37BE" w:rsidRDefault="009E37BE" w:rsidP="009E37BE">
      <w:pPr>
        <w:pStyle w:val="Odstavecseseznamem"/>
        <w:numPr>
          <w:ilvl w:val="0"/>
          <w:numId w:val="1"/>
        </w:numPr>
        <w:rPr>
          <w:lang w:val="en"/>
        </w:rPr>
      </w:pPr>
      <w:r>
        <w:rPr>
          <w:lang w:val="en"/>
        </w:rPr>
        <w:t>po jeho vzniku – již je přeplatek patrný z evidence</w:t>
      </w:r>
    </w:p>
    <w:p w:rsidR="009E37BE" w:rsidRDefault="009E37BE" w:rsidP="00E77422"/>
    <w:p w:rsidR="0029487D" w:rsidRDefault="005A7904" w:rsidP="00E77422">
      <w:r>
        <w:t xml:space="preserve">Nově </w:t>
      </w:r>
      <w:r w:rsidRPr="005E027E">
        <w:rPr>
          <w:b/>
        </w:rPr>
        <w:t>§ 155a</w:t>
      </w:r>
      <w:r>
        <w:t xml:space="preserve"> a </w:t>
      </w:r>
      <w:r w:rsidRPr="005E027E">
        <w:rPr>
          <w:b/>
        </w:rPr>
        <w:t>§ 155b</w:t>
      </w:r>
    </w:p>
    <w:p w:rsidR="005A7904" w:rsidRPr="00CC075A" w:rsidRDefault="005A7904" w:rsidP="00E77422">
      <w:pPr>
        <w:rPr>
          <w:i/>
        </w:rPr>
      </w:pPr>
      <w:r w:rsidRPr="00CC075A">
        <w:rPr>
          <w:i/>
        </w:rPr>
        <w:t>§ 155a – postup při vrácení vratitelného přeplatku:</w:t>
      </w:r>
    </w:p>
    <w:tbl>
      <w:tblPr>
        <w:tblW w:w="0" w:type="auto"/>
        <w:tblCellSpacing w:w="0" w:type="dxa"/>
        <w:tblInd w:w="142" w:type="dxa"/>
        <w:tblCellMar>
          <w:left w:w="0" w:type="dxa"/>
          <w:right w:w="0" w:type="dxa"/>
        </w:tblCellMar>
        <w:tblLook w:val="04A0" w:firstRow="1" w:lastRow="0" w:firstColumn="1" w:lastColumn="0" w:noHBand="0" w:noVBand="1"/>
      </w:tblPr>
      <w:tblGrid>
        <w:gridCol w:w="103"/>
        <w:gridCol w:w="8827"/>
      </w:tblGrid>
      <w:tr w:rsidR="005A7904" w:rsidRPr="00CC075A" w:rsidTr="00D96827">
        <w:trPr>
          <w:tblCellSpacing w:w="0" w:type="dxa"/>
        </w:trPr>
        <w:tc>
          <w:tcPr>
            <w:tcW w:w="103" w:type="dxa"/>
            <w:vAlign w:val="center"/>
            <w:hideMark/>
          </w:tcPr>
          <w:p w:rsidR="005A7904" w:rsidRPr="00CC075A" w:rsidRDefault="005A7904" w:rsidP="005A7904">
            <w:pPr>
              <w:spacing w:after="0" w:line="240" w:lineRule="auto"/>
              <w:rPr>
                <w:rFonts w:eastAsia="Times New Roman" w:cstheme="minorHAnsi"/>
                <w:i/>
                <w:lang w:eastAsia="cs-CZ"/>
              </w:rPr>
            </w:pPr>
          </w:p>
        </w:tc>
        <w:tc>
          <w:tcPr>
            <w:tcW w:w="8827" w:type="dxa"/>
            <w:vAlign w:val="center"/>
            <w:hideMark/>
          </w:tcPr>
          <w:p w:rsidR="005A7904" w:rsidRPr="00CC075A" w:rsidRDefault="005A7904" w:rsidP="00D96827">
            <w:pPr>
              <w:pStyle w:val="Odstavecseseznamem"/>
              <w:numPr>
                <w:ilvl w:val="0"/>
                <w:numId w:val="9"/>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 xml:space="preserve">Vratitelný přeplatek vrací správce daně v české měně </w:t>
            </w:r>
            <w:r w:rsidRPr="00CC075A">
              <w:rPr>
                <w:rFonts w:eastAsia="Times New Roman" w:cstheme="minorHAnsi"/>
                <w:b/>
                <w:i/>
                <w:lang w:eastAsia="cs-CZ"/>
              </w:rPr>
              <w:t>ve výši, v jaké byl evidován</w:t>
            </w:r>
            <w:r w:rsidRPr="00CC075A">
              <w:rPr>
                <w:rFonts w:eastAsia="Times New Roman" w:cstheme="minorHAnsi"/>
                <w:i/>
                <w:lang w:eastAsia="cs-CZ"/>
              </w:rPr>
              <w:t>.</w:t>
            </w:r>
          </w:p>
        </w:tc>
      </w:tr>
      <w:tr w:rsidR="005A7904" w:rsidRPr="00CC075A" w:rsidTr="00D96827">
        <w:trPr>
          <w:tblCellSpacing w:w="0" w:type="dxa"/>
        </w:trPr>
        <w:tc>
          <w:tcPr>
            <w:tcW w:w="103" w:type="dxa"/>
            <w:vAlign w:val="center"/>
            <w:hideMark/>
          </w:tcPr>
          <w:p w:rsidR="005A7904" w:rsidRPr="00CC075A" w:rsidRDefault="005A7904" w:rsidP="005A7904">
            <w:pPr>
              <w:spacing w:after="0" w:line="240" w:lineRule="auto"/>
              <w:rPr>
                <w:rFonts w:eastAsia="Times New Roman" w:cstheme="minorHAnsi"/>
                <w:i/>
                <w:lang w:eastAsia="cs-CZ"/>
              </w:rPr>
            </w:pPr>
          </w:p>
        </w:tc>
        <w:tc>
          <w:tcPr>
            <w:tcW w:w="8827" w:type="dxa"/>
            <w:vAlign w:val="center"/>
            <w:hideMark/>
          </w:tcPr>
          <w:p w:rsidR="005A7904" w:rsidRPr="00CC075A" w:rsidRDefault="005A7904" w:rsidP="00D96827">
            <w:pPr>
              <w:pStyle w:val="Odstavecseseznamem"/>
              <w:numPr>
                <w:ilvl w:val="0"/>
                <w:numId w:val="9"/>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Vratitelný přeplatek vrací správce daně</w:t>
            </w:r>
          </w:p>
          <w:tbl>
            <w:tblPr>
              <w:tblW w:w="0" w:type="auto"/>
              <w:tblCellSpacing w:w="0" w:type="dxa"/>
              <w:tblCellMar>
                <w:left w:w="0" w:type="dxa"/>
                <w:right w:w="0" w:type="dxa"/>
              </w:tblCellMar>
              <w:tblLook w:val="04A0" w:firstRow="1" w:lastRow="0" w:firstColumn="1" w:lastColumn="0" w:noHBand="0" w:noVBand="1"/>
            </w:tblPr>
            <w:tblGrid>
              <w:gridCol w:w="6"/>
              <w:gridCol w:w="8821"/>
            </w:tblGrid>
            <w:tr w:rsidR="005A7904" w:rsidRPr="00CC075A">
              <w:trPr>
                <w:tblCellSpacing w:w="0" w:type="dxa"/>
              </w:trPr>
              <w:tc>
                <w:tcPr>
                  <w:tcW w:w="0" w:type="auto"/>
                  <w:vAlign w:val="center"/>
                  <w:hideMark/>
                </w:tcPr>
                <w:p w:rsidR="005A7904" w:rsidRPr="00CC075A" w:rsidRDefault="005A7904" w:rsidP="005A7904">
                  <w:pPr>
                    <w:spacing w:after="0" w:line="240" w:lineRule="auto"/>
                    <w:rPr>
                      <w:rFonts w:eastAsia="Times New Roman" w:cstheme="minorHAnsi"/>
                      <w:i/>
                      <w:lang w:eastAsia="cs-CZ"/>
                    </w:rPr>
                  </w:pPr>
                </w:p>
              </w:tc>
              <w:tc>
                <w:tcPr>
                  <w:tcW w:w="0" w:type="auto"/>
                  <w:vAlign w:val="center"/>
                  <w:hideMark/>
                </w:tcPr>
                <w:p w:rsidR="005A7904" w:rsidRPr="00CC075A" w:rsidRDefault="005A7904" w:rsidP="00D96827">
                  <w:pPr>
                    <w:pStyle w:val="Odstavecseseznamem"/>
                    <w:numPr>
                      <w:ilvl w:val="0"/>
                      <w:numId w:val="10"/>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bezhotovostním převodem na účet vedený u poskytovatele platebních služeb určený daňovým subjektem,</w:t>
                  </w:r>
                </w:p>
              </w:tc>
            </w:tr>
            <w:tr w:rsidR="005A7904" w:rsidRPr="00CC075A">
              <w:trPr>
                <w:tblCellSpacing w:w="0" w:type="dxa"/>
              </w:trPr>
              <w:tc>
                <w:tcPr>
                  <w:tcW w:w="0" w:type="auto"/>
                  <w:vAlign w:val="center"/>
                  <w:hideMark/>
                </w:tcPr>
                <w:p w:rsidR="005A7904" w:rsidRPr="00CC075A" w:rsidRDefault="005A7904" w:rsidP="005A7904">
                  <w:pPr>
                    <w:spacing w:after="0" w:line="240" w:lineRule="auto"/>
                    <w:rPr>
                      <w:rFonts w:eastAsia="Times New Roman" w:cstheme="minorHAnsi"/>
                      <w:i/>
                      <w:lang w:eastAsia="cs-CZ"/>
                    </w:rPr>
                  </w:pPr>
                </w:p>
              </w:tc>
              <w:tc>
                <w:tcPr>
                  <w:tcW w:w="0" w:type="auto"/>
                  <w:vAlign w:val="center"/>
                  <w:hideMark/>
                </w:tcPr>
                <w:p w:rsidR="005A7904" w:rsidRPr="00CC075A" w:rsidRDefault="00D96827" w:rsidP="00D96827">
                  <w:pPr>
                    <w:pStyle w:val="Odstavecseseznamem"/>
                    <w:numPr>
                      <w:ilvl w:val="0"/>
                      <w:numId w:val="10"/>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p</w:t>
                  </w:r>
                  <w:r w:rsidR="005A7904" w:rsidRPr="00CC075A">
                    <w:rPr>
                      <w:rFonts w:eastAsia="Times New Roman" w:cstheme="minorHAnsi"/>
                      <w:i/>
                      <w:lang w:eastAsia="cs-CZ"/>
                    </w:rPr>
                    <w:t>oštovním poukazem, nebo</w:t>
                  </w:r>
                </w:p>
              </w:tc>
            </w:tr>
            <w:tr w:rsidR="005A7904" w:rsidRPr="00CC075A">
              <w:trPr>
                <w:tblCellSpacing w:w="0" w:type="dxa"/>
              </w:trPr>
              <w:tc>
                <w:tcPr>
                  <w:tcW w:w="0" w:type="auto"/>
                  <w:vAlign w:val="center"/>
                  <w:hideMark/>
                </w:tcPr>
                <w:p w:rsidR="005A7904" w:rsidRPr="00CC075A" w:rsidRDefault="005A7904" w:rsidP="005A7904">
                  <w:pPr>
                    <w:spacing w:after="0" w:line="240" w:lineRule="auto"/>
                    <w:rPr>
                      <w:rFonts w:eastAsia="Times New Roman" w:cstheme="minorHAnsi"/>
                      <w:i/>
                      <w:lang w:eastAsia="cs-CZ"/>
                    </w:rPr>
                  </w:pPr>
                </w:p>
              </w:tc>
              <w:tc>
                <w:tcPr>
                  <w:tcW w:w="0" w:type="auto"/>
                  <w:vAlign w:val="center"/>
                  <w:hideMark/>
                </w:tcPr>
                <w:p w:rsidR="005A7904" w:rsidRPr="00CC075A" w:rsidRDefault="005A7904" w:rsidP="00D96827">
                  <w:pPr>
                    <w:pStyle w:val="Odstavecseseznamem"/>
                    <w:numPr>
                      <w:ilvl w:val="0"/>
                      <w:numId w:val="10"/>
                    </w:numPr>
                    <w:spacing w:before="100" w:beforeAutospacing="1" w:after="100" w:afterAutospacing="1" w:line="240" w:lineRule="auto"/>
                    <w:rPr>
                      <w:rFonts w:eastAsia="Times New Roman" w:cstheme="minorHAnsi"/>
                      <w:b/>
                      <w:i/>
                      <w:lang w:eastAsia="cs-CZ"/>
                    </w:rPr>
                  </w:pPr>
                  <w:r w:rsidRPr="00CC075A">
                    <w:rPr>
                      <w:rFonts w:eastAsia="Times New Roman" w:cstheme="minorHAnsi"/>
                      <w:b/>
                      <w:i/>
                      <w:lang w:eastAsia="cs-CZ"/>
                    </w:rPr>
                    <w:t>v hotovosti, pokud jeho výše nepřesahuje 1 000 Kč a správce daně způsobem umožňujícím dálkový přístup zveřejní, že tento způsob vrácení vratitelného přeplatku umožňuje, a určí podmínky, které je při tom nutné dodržet.</w:t>
                  </w:r>
                </w:p>
              </w:tc>
            </w:tr>
          </w:tbl>
          <w:p w:rsidR="005A7904" w:rsidRPr="00CC075A" w:rsidRDefault="005A7904" w:rsidP="005A7904">
            <w:pPr>
              <w:spacing w:after="0" w:line="240" w:lineRule="auto"/>
              <w:rPr>
                <w:rFonts w:eastAsia="Times New Roman" w:cstheme="minorHAnsi"/>
                <w:i/>
                <w:lang w:eastAsia="cs-CZ"/>
              </w:rPr>
            </w:pPr>
          </w:p>
        </w:tc>
      </w:tr>
      <w:tr w:rsidR="005A7904" w:rsidRPr="00CC075A" w:rsidTr="00D96827">
        <w:trPr>
          <w:tblCellSpacing w:w="0" w:type="dxa"/>
        </w:trPr>
        <w:tc>
          <w:tcPr>
            <w:tcW w:w="103" w:type="dxa"/>
            <w:vAlign w:val="center"/>
            <w:hideMark/>
          </w:tcPr>
          <w:p w:rsidR="005A7904" w:rsidRPr="00CC075A" w:rsidRDefault="005A7904" w:rsidP="00D96827">
            <w:pPr>
              <w:spacing w:after="0" w:line="240" w:lineRule="auto"/>
              <w:rPr>
                <w:rFonts w:eastAsia="Times New Roman" w:cstheme="minorHAnsi"/>
                <w:i/>
                <w:lang w:eastAsia="cs-CZ"/>
              </w:rPr>
            </w:pPr>
          </w:p>
        </w:tc>
        <w:tc>
          <w:tcPr>
            <w:tcW w:w="8827" w:type="dxa"/>
            <w:vAlign w:val="center"/>
            <w:hideMark/>
          </w:tcPr>
          <w:p w:rsidR="005A7904" w:rsidRPr="00CC075A" w:rsidRDefault="005A7904" w:rsidP="00D96827">
            <w:pPr>
              <w:pStyle w:val="Odstavecseseznamem"/>
              <w:numPr>
                <w:ilvl w:val="0"/>
                <w:numId w:val="9"/>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 xml:space="preserve">Je-li daňový subjekt u správce daně registrován, je povinen </w:t>
            </w:r>
            <w:r w:rsidRPr="00CC075A">
              <w:rPr>
                <w:rFonts w:eastAsia="Times New Roman" w:cstheme="minorHAnsi"/>
                <w:b/>
                <w:i/>
                <w:lang w:eastAsia="cs-CZ"/>
              </w:rPr>
              <w:t>určit</w:t>
            </w:r>
            <w:r w:rsidRPr="00CC075A">
              <w:rPr>
                <w:rFonts w:eastAsia="Times New Roman" w:cstheme="minorHAnsi"/>
                <w:i/>
                <w:lang w:eastAsia="cs-CZ"/>
              </w:rPr>
              <w:t xml:space="preserve"> k vrácení vratitelného přeplatku jeden z účtů u poskytovatelů platebních služeb uvedených při registraci; při tom je povinen upřednostnit účet vedený u poskytovatele platebních služeb v České republice.</w:t>
            </w:r>
          </w:p>
        </w:tc>
      </w:tr>
      <w:tr w:rsidR="005A7904" w:rsidRPr="00CC075A" w:rsidTr="00D96827">
        <w:trPr>
          <w:tblCellSpacing w:w="0" w:type="dxa"/>
        </w:trPr>
        <w:tc>
          <w:tcPr>
            <w:tcW w:w="103" w:type="dxa"/>
            <w:vAlign w:val="center"/>
            <w:hideMark/>
          </w:tcPr>
          <w:p w:rsidR="005A7904" w:rsidRPr="00CC075A" w:rsidRDefault="005A7904" w:rsidP="005A7904">
            <w:pPr>
              <w:spacing w:after="0" w:line="240" w:lineRule="auto"/>
              <w:rPr>
                <w:rFonts w:eastAsia="Times New Roman" w:cstheme="minorHAnsi"/>
                <w:i/>
                <w:lang w:eastAsia="cs-CZ"/>
              </w:rPr>
            </w:pPr>
          </w:p>
        </w:tc>
        <w:tc>
          <w:tcPr>
            <w:tcW w:w="8827" w:type="dxa"/>
            <w:vAlign w:val="center"/>
            <w:hideMark/>
          </w:tcPr>
          <w:p w:rsidR="005A7904" w:rsidRPr="00CC075A" w:rsidRDefault="005A7904" w:rsidP="00D96827">
            <w:pPr>
              <w:pStyle w:val="Odstavecseseznamem"/>
              <w:numPr>
                <w:ilvl w:val="0"/>
                <w:numId w:val="9"/>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 xml:space="preserve">Nesplní-li daňový subjekt povinnost podle odstavce 3, </w:t>
            </w:r>
            <w:r w:rsidRPr="00CC075A">
              <w:rPr>
                <w:rFonts w:eastAsia="Times New Roman" w:cstheme="minorHAnsi"/>
                <w:b/>
                <w:i/>
                <w:lang w:eastAsia="cs-CZ"/>
              </w:rPr>
              <w:t>vyzve jej správce daně</w:t>
            </w:r>
            <w:r w:rsidRPr="00CC075A">
              <w:rPr>
                <w:rFonts w:eastAsia="Times New Roman" w:cstheme="minorHAnsi"/>
                <w:i/>
                <w:lang w:eastAsia="cs-CZ"/>
              </w:rPr>
              <w:t xml:space="preserve"> ke zjednání nápravy.</w:t>
            </w:r>
          </w:p>
        </w:tc>
      </w:tr>
      <w:tr w:rsidR="005A7904" w:rsidRPr="00CC075A" w:rsidTr="00D96827">
        <w:trPr>
          <w:tblCellSpacing w:w="0" w:type="dxa"/>
        </w:trPr>
        <w:tc>
          <w:tcPr>
            <w:tcW w:w="103" w:type="dxa"/>
            <w:vAlign w:val="center"/>
            <w:hideMark/>
          </w:tcPr>
          <w:p w:rsidR="005A7904" w:rsidRPr="00CC075A" w:rsidRDefault="005A7904" w:rsidP="005A7904">
            <w:pPr>
              <w:spacing w:after="0" w:line="240" w:lineRule="auto"/>
              <w:rPr>
                <w:rFonts w:eastAsia="Times New Roman" w:cstheme="minorHAnsi"/>
                <w:i/>
                <w:lang w:eastAsia="cs-CZ"/>
              </w:rPr>
            </w:pPr>
          </w:p>
        </w:tc>
        <w:tc>
          <w:tcPr>
            <w:tcW w:w="8827" w:type="dxa"/>
            <w:vAlign w:val="center"/>
            <w:hideMark/>
          </w:tcPr>
          <w:p w:rsidR="005A7904" w:rsidRPr="00CC075A" w:rsidRDefault="005A7904" w:rsidP="00D96827">
            <w:pPr>
              <w:pStyle w:val="Odstavecseseznamem"/>
              <w:numPr>
                <w:ilvl w:val="0"/>
                <w:numId w:val="9"/>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V případě bezhotovostního převodu na účet vedený u poskytovatele platebních služeb mimo území členského státu Evropské unie hradí náklady převodu daňový subjekt.</w:t>
            </w:r>
          </w:p>
        </w:tc>
      </w:tr>
    </w:tbl>
    <w:p w:rsidR="007E69C3" w:rsidRDefault="007E69C3" w:rsidP="00CC075A">
      <w:pPr>
        <w:jc w:val="both"/>
      </w:pPr>
      <w:r>
        <w:rPr>
          <w:lang w:val="en"/>
        </w:rPr>
        <w:t>Nově je připuštěno, aby kromě bezhotovostního převodu</w:t>
      </w:r>
      <w:r w:rsidR="00CC075A">
        <w:rPr>
          <w:lang w:val="en"/>
        </w:rPr>
        <w:t>,</w:t>
      </w:r>
      <w:r>
        <w:rPr>
          <w:lang w:val="en"/>
        </w:rPr>
        <w:t xml:space="preserve"> vrátil správce daně vratitelný přeplatek též v hotovosti, a to do maximální výše 1 000 Kč (za splnění podmínky zveřejnění možnosti tohoto způsobu).</w:t>
      </w:r>
    </w:p>
    <w:p w:rsidR="005A7904" w:rsidRPr="00CC075A" w:rsidRDefault="00D96827" w:rsidP="00E77422">
      <w:pPr>
        <w:rPr>
          <w:i/>
        </w:rPr>
      </w:pPr>
      <w:r w:rsidRPr="00CC075A">
        <w:rPr>
          <w:i/>
        </w:rPr>
        <w:t>§ 155b – lhůta pro vrácení vratitelného přeplatku:</w:t>
      </w:r>
    </w:p>
    <w:tbl>
      <w:tblPr>
        <w:tblW w:w="0" w:type="auto"/>
        <w:tblCellSpacing w:w="0" w:type="dxa"/>
        <w:tblInd w:w="-284" w:type="dxa"/>
        <w:tblCellMar>
          <w:left w:w="0" w:type="dxa"/>
          <w:right w:w="0" w:type="dxa"/>
        </w:tblCellMar>
        <w:tblLook w:val="04A0" w:firstRow="1" w:lastRow="0" w:firstColumn="1" w:lastColumn="0" w:noHBand="0" w:noVBand="1"/>
      </w:tblPr>
      <w:tblGrid>
        <w:gridCol w:w="142"/>
        <w:gridCol w:w="9214"/>
      </w:tblGrid>
      <w:tr w:rsidR="00D96827" w:rsidRPr="00CC075A" w:rsidTr="00D96827">
        <w:trPr>
          <w:tblCellSpacing w:w="0" w:type="dxa"/>
        </w:trPr>
        <w:tc>
          <w:tcPr>
            <w:tcW w:w="142" w:type="dxa"/>
            <w:vAlign w:val="center"/>
            <w:hideMark/>
          </w:tcPr>
          <w:p w:rsidR="00D96827" w:rsidRPr="00CC075A" w:rsidRDefault="00D96827" w:rsidP="00D96827">
            <w:pPr>
              <w:spacing w:after="0" w:line="240" w:lineRule="auto"/>
              <w:rPr>
                <w:rFonts w:eastAsia="Times New Roman" w:cstheme="minorHAnsi"/>
                <w:i/>
                <w:lang w:eastAsia="cs-CZ"/>
              </w:rPr>
            </w:pPr>
          </w:p>
        </w:tc>
        <w:tc>
          <w:tcPr>
            <w:tcW w:w="9214" w:type="dxa"/>
            <w:vAlign w:val="center"/>
            <w:hideMark/>
          </w:tcPr>
          <w:p w:rsidR="00D96827" w:rsidRPr="00CC075A" w:rsidRDefault="00D96827" w:rsidP="00D96827">
            <w:pPr>
              <w:pStyle w:val="Odstavecseseznamem"/>
              <w:numPr>
                <w:ilvl w:val="0"/>
                <w:numId w:val="11"/>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Správce daně vrátí vratitelný přeplatek na žádost daňového subjektu do 30 dnů ode dne obdržení žádosti o vrácení vratitelného přeplatku.</w:t>
            </w:r>
          </w:p>
        </w:tc>
      </w:tr>
      <w:tr w:rsidR="00D96827" w:rsidRPr="00CC075A" w:rsidTr="00D96827">
        <w:trPr>
          <w:tblCellSpacing w:w="0" w:type="dxa"/>
        </w:trPr>
        <w:tc>
          <w:tcPr>
            <w:tcW w:w="142" w:type="dxa"/>
            <w:vAlign w:val="center"/>
            <w:hideMark/>
          </w:tcPr>
          <w:p w:rsidR="00D96827" w:rsidRPr="00CC075A" w:rsidRDefault="00D96827" w:rsidP="00D96827">
            <w:pPr>
              <w:spacing w:after="0" w:line="240" w:lineRule="auto"/>
              <w:rPr>
                <w:rFonts w:eastAsia="Times New Roman" w:cstheme="minorHAnsi"/>
                <w:i/>
                <w:lang w:eastAsia="cs-CZ"/>
              </w:rPr>
            </w:pPr>
          </w:p>
        </w:tc>
        <w:tc>
          <w:tcPr>
            <w:tcW w:w="9214" w:type="dxa"/>
            <w:vAlign w:val="center"/>
            <w:hideMark/>
          </w:tcPr>
          <w:p w:rsidR="00D96827" w:rsidRPr="00CC075A" w:rsidRDefault="00D96827" w:rsidP="00D96827">
            <w:pPr>
              <w:pStyle w:val="Odstavecseseznamem"/>
              <w:numPr>
                <w:ilvl w:val="0"/>
                <w:numId w:val="11"/>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 xml:space="preserve">Pokud vratitelný přeplatek nedosahuje v době podání žádosti částku nejméně </w:t>
            </w:r>
            <w:r w:rsidRPr="00CC075A">
              <w:rPr>
                <w:rFonts w:eastAsia="Times New Roman" w:cstheme="minorHAnsi"/>
                <w:b/>
                <w:i/>
                <w:lang w:eastAsia="cs-CZ"/>
              </w:rPr>
              <w:t>200 Kč</w:t>
            </w:r>
            <w:r w:rsidRPr="00CC075A">
              <w:rPr>
                <w:rFonts w:eastAsia="Times New Roman" w:cstheme="minorHAnsi"/>
                <w:i/>
                <w:lang w:eastAsia="cs-CZ"/>
              </w:rPr>
              <w:t>, lhůta pro jeho vrácení počíná běžet až ode dne následujícího po dosažení této částky.</w:t>
            </w:r>
          </w:p>
        </w:tc>
      </w:tr>
      <w:tr w:rsidR="00D96827" w:rsidRPr="00CC075A" w:rsidTr="00D96827">
        <w:trPr>
          <w:tblCellSpacing w:w="0" w:type="dxa"/>
        </w:trPr>
        <w:tc>
          <w:tcPr>
            <w:tcW w:w="142" w:type="dxa"/>
            <w:vAlign w:val="center"/>
            <w:hideMark/>
          </w:tcPr>
          <w:p w:rsidR="00D96827" w:rsidRPr="00CC075A" w:rsidRDefault="00D96827" w:rsidP="00D96827">
            <w:pPr>
              <w:spacing w:after="0" w:line="240" w:lineRule="auto"/>
              <w:rPr>
                <w:rFonts w:eastAsia="Times New Roman" w:cstheme="minorHAnsi"/>
                <w:i/>
                <w:lang w:eastAsia="cs-CZ"/>
              </w:rPr>
            </w:pPr>
          </w:p>
        </w:tc>
        <w:tc>
          <w:tcPr>
            <w:tcW w:w="9214" w:type="dxa"/>
            <w:vAlign w:val="center"/>
            <w:hideMark/>
          </w:tcPr>
          <w:p w:rsidR="00D96827" w:rsidRPr="00CC075A" w:rsidRDefault="00D96827" w:rsidP="00D96827">
            <w:pPr>
              <w:pStyle w:val="Odstavecseseznamem"/>
              <w:numPr>
                <w:ilvl w:val="0"/>
                <w:numId w:val="11"/>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Vznikne-li v důsledku stanovení daňového odpočtu vratitelný přeplatek, vrátí jej správce daně daňovému subjektu bez žádosti do</w:t>
            </w:r>
          </w:p>
          <w:tbl>
            <w:tblPr>
              <w:tblW w:w="0" w:type="auto"/>
              <w:tblCellSpacing w:w="0" w:type="dxa"/>
              <w:tblCellMar>
                <w:left w:w="0" w:type="dxa"/>
                <w:right w:w="0" w:type="dxa"/>
              </w:tblCellMar>
              <w:tblLook w:val="04A0" w:firstRow="1" w:lastRow="0" w:firstColumn="1" w:lastColumn="0" w:noHBand="0" w:noVBand="1"/>
            </w:tblPr>
            <w:tblGrid>
              <w:gridCol w:w="6"/>
              <w:gridCol w:w="9208"/>
            </w:tblGrid>
            <w:tr w:rsidR="00D96827" w:rsidRPr="00CC075A">
              <w:trPr>
                <w:tblCellSpacing w:w="0" w:type="dxa"/>
              </w:trPr>
              <w:tc>
                <w:tcPr>
                  <w:tcW w:w="0" w:type="auto"/>
                  <w:vAlign w:val="center"/>
                  <w:hideMark/>
                </w:tcPr>
                <w:p w:rsidR="00D96827" w:rsidRPr="00CC075A" w:rsidRDefault="00D96827" w:rsidP="00D96827">
                  <w:pPr>
                    <w:spacing w:after="0" w:line="240" w:lineRule="auto"/>
                    <w:rPr>
                      <w:rFonts w:eastAsia="Times New Roman" w:cstheme="minorHAnsi"/>
                      <w:i/>
                      <w:lang w:eastAsia="cs-CZ"/>
                    </w:rPr>
                  </w:pPr>
                </w:p>
              </w:tc>
              <w:tc>
                <w:tcPr>
                  <w:tcW w:w="0" w:type="auto"/>
                  <w:vAlign w:val="center"/>
                  <w:hideMark/>
                </w:tcPr>
                <w:p w:rsidR="00D96827" w:rsidRPr="00CC075A" w:rsidRDefault="00D96827" w:rsidP="00D96827">
                  <w:pPr>
                    <w:pStyle w:val="Odstavecseseznamem"/>
                    <w:numPr>
                      <w:ilvl w:val="0"/>
                      <w:numId w:val="12"/>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15 dnů ode dne oznámení platebního výměru nebo dodatečného platebního výměru, nebo</w:t>
                  </w:r>
                </w:p>
              </w:tc>
            </w:tr>
            <w:tr w:rsidR="00D96827" w:rsidRPr="00CC075A">
              <w:trPr>
                <w:tblCellSpacing w:w="0" w:type="dxa"/>
              </w:trPr>
              <w:tc>
                <w:tcPr>
                  <w:tcW w:w="0" w:type="auto"/>
                  <w:vAlign w:val="center"/>
                  <w:hideMark/>
                </w:tcPr>
                <w:p w:rsidR="00D96827" w:rsidRPr="00CC075A" w:rsidRDefault="00D96827" w:rsidP="00D96827">
                  <w:pPr>
                    <w:spacing w:after="0" w:line="240" w:lineRule="auto"/>
                    <w:rPr>
                      <w:rFonts w:eastAsia="Times New Roman" w:cstheme="minorHAnsi"/>
                      <w:i/>
                      <w:lang w:eastAsia="cs-CZ"/>
                    </w:rPr>
                  </w:pPr>
                </w:p>
              </w:tc>
              <w:tc>
                <w:tcPr>
                  <w:tcW w:w="0" w:type="auto"/>
                  <w:vAlign w:val="center"/>
                  <w:hideMark/>
                </w:tcPr>
                <w:p w:rsidR="00D96827" w:rsidRPr="00CC075A" w:rsidRDefault="00D96827" w:rsidP="00D96827">
                  <w:pPr>
                    <w:pStyle w:val="Odstavecseseznamem"/>
                    <w:numPr>
                      <w:ilvl w:val="0"/>
                      <w:numId w:val="12"/>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30 dnů ode dne, který se považuje za den doručení platebního výměru nebo dodatečného platebního výměru v případě, kdy se výsledek vyměření nebo doměření daňovému subjektu neoznamuje.</w:t>
                  </w:r>
                </w:p>
              </w:tc>
            </w:tr>
          </w:tbl>
          <w:p w:rsidR="00D96827" w:rsidRPr="00CC075A" w:rsidRDefault="00D96827" w:rsidP="00D96827">
            <w:pPr>
              <w:spacing w:after="0" w:line="240" w:lineRule="auto"/>
              <w:rPr>
                <w:rFonts w:eastAsia="Times New Roman" w:cstheme="minorHAnsi"/>
                <w:i/>
                <w:lang w:eastAsia="cs-CZ"/>
              </w:rPr>
            </w:pPr>
          </w:p>
        </w:tc>
      </w:tr>
      <w:tr w:rsidR="00D96827" w:rsidRPr="00CC075A" w:rsidTr="00D96827">
        <w:trPr>
          <w:tblCellSpacing w:w="0" w:type="dxa"/>
        </w:trPr>
        <w:tc>
          <w:tcPr>
            <w:tcW w:w="142" w:type="dxa"/>
            <w:vAlign w:val="center"/>
            <w:hideMark/>
          </w:tcPr>
          <w:p w:rsidR="00D96827" w:rsidRPr="00CC075A" w:rsidRDefault="00D96827" w:rsidP="00D96827">
            <w:pPr>
              <w:spacing w:after="0" w:line="240" w:lineRule="auto"/>
              <w:rPr>
                <w:rFonts w:eastAsia="Times New Roman" w:cstheme="minorHAnsi"/>
                <w:i/>
                <w:lang w:eastAsia="cs-CZ"/>
              </w:rPr>
            </w:pPr>
          </w:p>
        </w:tc>
        <w:tc>
          <w:tcPr>
            <w:tcW w:w="9214" w:type="dxa"/>
            <w:vAlign w:val="center"/>
            <w:hideMark/>
          </w:tcPr>
          <w:p w:rsidR="00D96827" w:rsidRPr="00CC075A" w:rsidRDefault="00D96827" w:rsidP="00D96827">
            <w:pPr>
              <w:pStyle w:val="Odstavecseseznamem"/>
              <w:numPr>
                <w:ilvl w:val="0"/>
                <w:numId w:val="11"/>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Vznikne-li v důsledku zrušení, změny, zániku účinnosti nebo prohlášení nicotnosti rozhodnutí o stanovení daně nebo zajišťovacího příkazu vratitelný přeplatek, vrátí jej správce daně bez žádosti do 15 dnů ode dne</w:t>
            </w:r>
          </w:p>
          <w:tbl>
            <w:tblPr>
              <w:tblW w:w="0" w:type="auto"/>
              <w:tblCellSpacing w:w="0" w:type="dxa"/>
              <w:tblCellMar>
                <w:left w:w="0" w:type="dxa"/>
                <w:right w:w="0" w:type="dxa"/>
              </w:tblCellMar>
              <w:tblLook w:val="04A0" w:firstRow="1" w:lastRow="0" w:firstColumn="1" w:lastColumn="0" w:noHBand="0" w:noVBand="1"/>
            </w:tblPr>
            <w:tblGrid>
              <w:gridCol w:w="6"/>
              <w:gridCol w:w="9208"/>
            </w:tblGrid>
            <w:tr w:rsidR="00D96827" w:rsidRPr="00CC075A">
              <w:trPr>
                <w:tblCellSpacing w:w="0" w:type="dxa"/>
              </w:trPr>
              <w:tc>
                <w:tcPr>
                  <w:tcW w:w="0" w:type="auto"/>
                  <w:vAlign w:val="center"/>
                  <w:hideMark/>
                </w:tcPr>
                <w:p w:rsidR="00D96827" w:rsidRPr="00CC075A" w:rsidRDefault="00D96827" w:rsidP="00D96827">
                  <w:pPr>
                    <w:spacing w:after="0" w:line="240" w:lineRule="auto"/>
                    <w:rPr>
                      <w:rFonts w:eastAsia="Times New Roman" w:cstheme="minorHAnsi"/>
                      <w:i/>
                      <w:lang w:eastAsia="cs-CZ"/>
                    </w:rPr>
                  </w:pPr>
                </w:p>
              </w:tc>
              <w:tc>
                <w:tcPr>
                  <w:tcW w:w="0" w:type="auto"/>
                  <w:vAlign w:val="center"/>
                  <w:hideMark/>
                </w:tcPr>
                <w:p w:rsidR="00D96827" w:rsidRPr="00CC075A" w:rsidRDefault="00D96827" w:rsidP="00D96827">
                  <w:pPr>
                    <w:pStyle w:val="Odstavecseseznamem"/>
                    <w:numPr>
                      <w:ilvl w:val="0"/>
                      <w:numId w:val="13"/>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 xml:space="preserve">účinnosti rozhodnutí, kterým došlo ke zrušení, změně nebo prohlášení nicotnosti rozhodnutí o stanovení daně nebo zajišťovacího příkazu; v případě peněžitého plnění v rámci dělené správy počíná lhůta pro vrácení vratitelného přeplatku běžet ode dne, kdy byla podle § 162 odst. 3 </w:t>
                  </w:r>
                  <w:r w:rsidRPr="00CC075A">
                    <w:rPr>
                      <w:rFonts w:eastAsia="Times New Roman" w:cstheme="minorHAnsi"/>
                      <w:i/>
                      <w:lang w:eastAsia="cs-CZ"/>
                    </w:rPr>
                    <w:lastRenderedPageBreak/>
                    <w:t>správci daně sdělena skutečnost, že došlo ke zrušení, změně nebo prohlášení nicotnosti rozhodnutí o stanovení daně,</w:t>
                  </w:r>
                </w:p>
              </w:tc>
            </w:tr>
            <w:tr w:rsidR="00D96827" w:rsidRPr="00CC075A">
              <w:trPr>
                <w:tblCellSpacing w:w="0" w:type="dxa"/>
              </w:trPr>
              <w:tc>
                <w:tcPr>
                  <w:tcW w:w="0" w:type="auto"/>
                  <w:vAlign w:val="center"/>
                  <w:hideMark/>
                </w:tcPr>
                <w:p w:rsidR="00D96827" w:rsidRPr="00CC075A" w:rsidRDefault="00D96827" w:rsidP="00D96827">
                  <w:pPr>
                    <w:spacing w:after="0" w:line="240" w:lineRule="auto"/>
                    <w:rPr>
                      <w:rFonts w:eastAsia="Times New Roman" w:cstheme="minorHAnsi"/>
                      <w:i/>
                      <w:lang w:eastAsia="cs-CZ"/>
                    </w:rPr>
                  </w:pPr>
                </w:p>
              </w:tc>
              <w:tc>
                <w:tcPr>
                  <w:tcW w:w="0" w:type="auto"/>
                  <w:vAlign w:val="center"/>
                  <w:hideMark/>
                </w:tcPr>
                <w:p w:rsidR="00D96827" w:rsidRPr="00CC075A" w:rsidRDefault="00D96827" w:rsidP="00D96827">
                  <w:pPr>
                    <w:pStyle w:val="Odstavecseseznamem"/>
                    <w:numPr>
                      <w:ilvl w:val="0"/>
                      <w:numId w:val="13"/>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zániku účinnosti zajišťovacího příkazu.</w:t>
                  </w:r>
                </w:p>
              </w:tc>
            </w:tr>
          </w:tbl>
          <w:p w:rsidR="00D96827" w:rsidRPr="00CC075A" w:rsidRDefault="00D96827" w:rsidP="00D96827">
            <w:pPr>
              <w:spacing w:after="0" w:line="240" w:lineRule="auto"/>
              <w:rPr>
                <w:rFonts w:eastAsia="Times New Roman" w:cstheme="minorHAnsi"/>
                <w:i/>
                <w:lang w:eastAsia="cs-CZ"/>
              </w:rPr>
            </w:pPr>
          </w:p>
        </w:tc>
      </w:tr>
      <w:tr w:rsidR="00D96827" w:rsidRPr="00CC075A" w:rsidTr="00D96827">
        <w:trPr>
          <w:tblCellSpacing w:w="0" w:type="dxa"/>
        </w:trPr>
        <w:tc>
          <w:tcPr>
            <w:tcW w:w="142" w:type="dxa"/>
            <w:vAlign w:val="center"/>
            <w:hideMark/>
          </w:tcPr>
          <w:p w:rsidR="00D96827" w:rsidRPr="00CC075A" w:rsidRDefault="00D96827" w:rsidP="00D96827">
            <w:pPr>
              <w:spacing w:after="0" w:line="240" w:lineRule="auto"/>
              <w:rPr>
                <w:rFonts w:eastAsia="Times New Roman" w:cstheme="minorHAnsi"/>
                <w:i/>
                <w:lang w:eastAsia="cs-CZ"/>
              </w:rPr>
            </w:pPr>
          </w:p>
        </w:tc>
        <w:tc>
          <w:tcPr>
            <w:tcW w:w="9214" w:type="dxa"/>
            <w:vAlign w:val="center"/>
            <w:hideMark/>
          </w:tcPr>
          <w:p w:rsidR="00D96827" w:rsidRPr="00CC075A" w:rsidRDefault="00D96827" w:rsidP="00D96827">
            <w:pPr>
              <w:pStyle w:val="Odstavecseseznamem"/>
              <w:numPr>
                <w:ilvl w:val="0"/>
                <w:numId w:val="11"/>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Vznikne-li v důsledku neoprávněného vymáhání přeplatek, správce daně jej vrátí bez žádosti do 15 dnů ode dne prohlášení neoprávněného vymáhání, pokud</w:t>
            </w:r>
          </w:p>
          <w:tbl>
            <w:tblPr>
              <w:tblW w:w="0" w:type="auto"/>
              <w:tblCellSpacing w:w="0" w:type="dxa"/>
              <w:tblCellMar>
                <w:left w:w="0" w:type="dxa"/>
                <w:right w:w="0" w:type="dxa"/>
              </w:tblCellMar>
              <w:tblLook w:val="04A0" w:firstRow="1" w:lastRow="0" w:firstColumn="1" w:lastColumn="0" w:noHBand="0" w:noVBand="1"/>
            </w:tblPr>
            <w:tblGrid>
              <w:gridCol w:w="6"/>
              <w:gridCol w:w="9208"/>
            </w:tblGrid>
            <w:tr w:rsidR="00D96827" w:rsidRPr="00CC075A">
              <w:trPr>
                <w:tblCellSpacing w:w="0" w:type="dxa"/>
              </w:trPr>
              <w:tc>
                <w:tcPr>
                  <w:tcW w:w="0" w:type="auto"/>
                  <w:vAlign w:val="center"/>
                  <w:hideMark/>
                </w:tcPr>
                <w:p w:rsidR="00D96827" w:rsidRPr="00CC075A" w:rsidRDefault="00D96827" w:rsidP="00D96827">
                  <w:pPr>
                    <w:spacing w:after="0" w:line="240" w:lineRule="auto"/>
                    <w:rPr>
                      <w:rFonts w:eastAsia="Times New Roman" w:cstheme="minorHAnsi"/>
                      <w:i/>
                      <w:lang w:eastAsia="cs-CZ"/>
                    </w:rPr>
                  </w:pPr>
                </w:p>
              </w:tc>
              <w:tc>
                <w:tcPr>
                  <w:tcW w:w="0" w:type="auto"/>
                  <w:vAlign w:val="center"/>
                  <w:hideMark/>
                </w:tcPr>
                <w:p w:rsidR="00D96827" w:rsidRPr="00CC075A" w:rsidRDefault="00D96827" w:rsidP="00D96827">
                  <w:pPr>
                    <w:pStyle w:val="Odstavecseseznamem"/>
                    <w:numPr>
                      <w:ilvl w:val="0"/>
                      <w:numId w:val="14"/>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je vratitelným přeplatkem, nebo</w:t>
                  </w:r>
                </w:p>
              </w:tc>
            </w:tr>
            <w:tr w:rsidR="00D96827" w:rsidRPr="00CC075A">
              <w:trPr>
                <w:tblCellSpacing w:w="0" w:type="dxa"/>
              </w:trPr>
              <w:tc>
                <w:tcPr>
                  <w:tcW w:w="0" w:type="auto"/>
                  <w:vAlign w:val="center"/>
                  <w:hideMark/>
                </w:tcPr>
                <w:p w:rsidR="00D96827" w:rsidRPr="00CC075A" w:rsidRDefault="00D96827" w:rsidP="00D96827">
                  <w:pPr>
                    <w:spacing w:after="0" w:line="240" w:lineRule="auto"/>
                    <w:rPr>
                      <w:rFonts w:eastAsia="Times New Roman" w:cstheme="minorHAnsi"/>
                      <w:i/>
                      <w:lang w:eastAsia="cs-CZ"/>
                    </w:rPr>
                  </w:pPr>
                </w:p>
              </w:tc>
              <w:tc>
                <w:tcPr>
                  <w:tcW w:w="0" w:type="auto"/>
                  <w:vAlign w:val="center"/>
                  <w:hideMark/>
                </w:tcPr>
                <w:p w:rsidR="00D96827" w:rsidRPr="00CC075A" w:rsidRDefault="00D96827" w:rsidP="00D96827">
                  <w:pPr>
                    <w:pStyle w:val="Odstavecseseznamem"/>
                    <w:numPr>
                      <w:ilvl w:val="0"/>
                      <w:numId w:val="14"/>
                    </w:numPr>
                    <w:spacing w:before="100" w:beforeAutospacing="1" w:after="100" w:afterAutospacing="1" w:line="240" w:lineRule="auto"/>
                    <w:rPr>
                      <w:rFonts w:eastAsia="Times New Roman" w:cstheme="minorHAnsi"/>
                      <w:b/>
                      <w:i/>
                      <w:lang w:eastAsia="cs-CZ"/>
                    </w:rPr>
                  </w:pPr>
                  <w:r w:rsidRPr="00CC075A">
                    <w:rPr>
                      <w:rFonts w:eastAsia="Times New Roman" w:cstheme="minorHAnsi"/>
                      <w:b/>
                      <w:i/>
                      <w:lang w:eastAsia="cs-CZ"/>
                    </w:rPr>
                    <w:t>jde o peněžní prostředky pocházející z majetku v rozsahu, v němž tento majetek nepodléhá vymáhání.</w:t>
                  </w:r>
                </w:p>
              </w:tc>
            </w:tr>
          </w:tbl>
          <w:p w:rsidR="00D96827" w:rsidRPr="00CC075A" w:rsidRDefault="00D96827" w:rsidP="00D96827">
            <w:pPr>
              <w:spacing w:after="0" w:line="240" w:lineRule="auto"/>
              <w:rPr>
                <w:rFonts w:eastAsia="Times New Roman" w:cstheme="minorHAnsi"/>
                <w:i/>
                <w:lang w:eastAsia="cs-CZ"/>
              </w:rPr>
            </w:pPr>
          </w:p>
        </w:tc>
      </w:tr>
      <w:tr w:rsidR="00D96827" w:rsidRPr="00CC075A" w:rsidTr="00D96827">
        <w:trPr>
          <w:tblCellSpacing w:w="0" w:type="dxa"/>
        </w:trPr>
        <w:tc>
          <w:tcPr>
            <w:tcW w:w="142" w:type="dxa"/>
            <w:vAlign w:val="center"/>
            <w:hideMark/>
          </w:tcPr>
          <w:p w:rsidR="00D96827" w:rsidRPr="00CC075A" w:rsidRDefault="00D96827" w:rsidP="00D96827">
            <w:pPr>
              <w:spacing w:after="0" w:line="240" w:lineRule="auto"/>
              <w:rPr>
                <w:rFonts w:eastAsia="Times New Roman" w:cstheme="minorHAnsi"/>
                <w:i/>
                <w:lang w:eastAsia="cs-CZ"/>
              </w:rPr>
            </w:pPr>
          </w:p>
        </w:tc>
        <w:tc>
          <w:tcPr>
            <w:tcW w:w="9214" w:type="dxa"/>
            <w:vAlign w:val="center"/>
            <w:hideMark/>
          </w:tcPr>
          <w:p w:rsidR="00D96827" w:rsidRPr="00CC075A" w:rsidRDefault="00D96827" w:rsidP="00D96827">
            <w:pPr>
              <w:pStyle w:val="Odstavecseseznamem"/>
              <w:numPr>
                <w:ilvl w:val="0"/>
                <w:numId w:val="11"/>
              </w:numPr>
              <w:spacing w:before="100" w:beforeAutospacing="1" w:after="100" w:afterAutospacing="1" w:line="240" w:lineRule="auto"/>
              <w:rPr>
                <w:rFonts w:eastAsia="Times New Roman" w:cstheme="minorHAnsi"/>
                <w:i/>
                <w:lang w:eastAsia="cs-CZ"/>
              </w:rPr>
            </w:pPr>
            <w:r w:rsidRPr="00CC075A">
              <w:rPr>
                <w:rFonts w:eastAsia="Times New Roman" w:cstheme="minorHAnsi"/>
                <w:i/>
                <w:lang w:eastAsia="cs-CZ"/>
              </w:rPr>
              <w:t xml:space="preserve">Stanoví-li zákon, že se vratitelný přeplatek vrací bez žádosti, správce daně tento vratitelný přeplatek daňovému subjektu </w:t>
            </w:r>
            <w:r w:rsidRPr="00CC075A">
              <w:rPr>
                <w:rFonts w:eastAsia="Times New Roman" w:cstheme="minorHAnsi"/>
                <w:b/>
                <w:i/>
                <w:lang w:eastAsia="cs-CZ"/>
              </w:rPr>
              <w:t>nevrátí, pokud je o to daňovým subjektem před jeho vrácením požádán.</w:t>
            </w:r>
            <w:r w:rsidRPr="00CC075A">
              <w:rPr>
                <w:rFonts w:eastAsia="Times New Roman" w:cstheme="minorHAnsi"/>
                <w:i/>
                <w:lang w:eastAsia="cs-CZ"/>
              </w:rPr>
              <w:t xml:space="preserve"> Je-li vratitelný přeplatek evidován na osobním depozitním účtu, musí daňový subjekt v žádosti uvést, na který osobní daňový účet má být vratitelný přeplatek převeden.</w:t>
            </w:r>
          </w:p>
        </w:tc>
      </w:tr>
    </w:tbl>
    <w:p w:rsidR="00D96827" w:rsidRDefault="007E69C3" w:rsidP="00CC075A">
      <w:pPr>
        <w:jc w:val="both"/>
      </w:pPr>
      <w:r>
        <w:rPr>
          <w:rFonts w:cstheme="minorHAnsi"/>
        </w:rPr>
        <w:t xml:space="preserve">Jde-li o vrácení v důsledku stanovení daňového odpočtu v případě, kdy </w:t>
      </w:r>
      <w:r>
        <w:t xml:space="preserve">správce daně tvrzený odpočet prověří v rámci vyhledávací činnosti a následně kontrolním postupem, a poté vydá platební výměr nebo dodatečný platební výměr, který se standardně doručuje, je lhůta </w:t>
      </w:r>
      <w:r w:rsidR="00CC075A">
        <w:t xml:space="preserve">pro vrácení </w:t>
      </w:r>
      <w:r>
        <w:t>15 dnů.</w:t>
      </w:r>
    </w:p>
    <w:p w:rsidR="007E69C3" w:rsidRDefault="007E69C3" w:rsidP="00CC075A">
      <w:pPr>
        <w:jc w:val="both"/>
      </w:pPr>
      <w:r>
        <w:rPr>
          <w:rFonts w:cstheme="minorHAnsi"/>
        </w:rPr>
        <w:t xml:space="preserve">Jde-li o vrácení v důsledku stanovení daňového odpočtu v případě, kdy </w:t>
      </w:r>
      <w:r>
        <w:t xml:space="preserve">správce daně tvrzený odpočet prověří pouze v rámci vyhledávací činnosti, na základě čehož rozhodne v souladu s tvrzením daňového subjektu a platební výměr nebo dodatečný platební výměr založí do spisu </w:t>
      </w:r>
      <w:r w:rsidR="00CC075A">
        <w:t>(</w:t>
      </w:r>
      <w:r>
        <w:t xml:space="preserve">konkludentní stanovení daně), je lhůta </w:t>
      </w:r>
      <w:r w:rsidR="00CC075A">
        <w:t xml:space="preserve">pro vrácení </w:t>
      </w:r>
      <w:r>
        <w:t>30 dnů.</w:t>
      </w:r>
    </w:p>
    <w:p w:rsidR="002124FF" w:rsidRDefault="002124FF" w:rsidP="00CC075A">
      <w:pPr>
        <w:jc w:val="both"/>
        <w:rPr>
          <w:lang w:val="en"/>
        </w:rPr>
      </w:pPr>
      <w:r>
        <w:rPr>
          <w:lang w:val="en"/>
        </w:rPr>
        <w:t xml:space="preserve">Nově nebude </w:t>
      </w:r>
      <w:r w:rsidR="00CC075A">
        <w:rPr>
          <w:lang w:val="en"/>
        </w:rPr>
        <w:t xml:space="preserve">test vratitelnosti </w:t>
      </w:r>
      <w:r>
        <w:rPr>
          <w:lang w:val="en"/>
        </w:rPr>
        <w:t xml:space="preserve">aplikován na přeplatek, který vznikl v důsledku vymáhání peněžních prostředků pocházejících z majetku v rozsahu, v němž tento majetek nepodléhá vymáhání. V tomto případě </w:t>
      </w:r>
      <w:r w:rsidR="00CC075A">
        <w:rPr>
          <w:lang w:val="en"/>
        </w:rPr>
        <w:t xml:space="preserve">jde především o </w:t>
      </w:r>
      <w:r>
        <w:rPr>
          <w:lang w:val="en"/>
        </w:rPr>
        <w:t>případy, kdy neoprávněnost vymáhání nespočívala v nezákonnosti exekučního titulu, ale v samotném postupu vymáhání, během něhož byly vymoženy prostředky, které ve skutečnosti nemohly být předmětem vymáhání.</w:t>
      </w:r>
    </w:p>
    <w:p w:rsidR="00EC0742" w:rsidRDefault="00EC0742" w:rsidP="00E77422">
      <w:pPr>
        <w:rPr>
          <w:lang w:val="en"/>
        </w:rPr>
      </w:pPr>
    </w:p>
    <w:p w:rsidR="00EC0742" w:rsidRPr="00EC0742" w:rsidRDefault="00EC0742" w:rsidP="00EC0742">
      <w:pPr>
        <w:pStyle w:val="Odstavecseseznamem"/>
        <w:numPr>
          <w:ilvl w:val="0"/>
          <w:numId w:val="7"/>
        </w:numPr>
        <w:rPr>
          <w:b/>
          <w:sz w:val="28"/>
          <w:szCs w:val="28"/>
        </w:rPr>
      </w:pPr>
      <w:r>
        <w:rPr>
          <w:b/>
          <w:sz w:val="28"/>
          <w:szCs w:val="28"/>
        </w:rPr>
        <w:t>Lhůta pro placení daně</w:t>
      </w:r>
    </w:p>
    <w:p w:rsidR="00EC0742" w:rsidRDefault="00EC0742" w:rsidP="00E77422">
      <w:pPr>
        <w:rPr>
          <w:rFonts w:cstheme="minorHAnsi"/>
          <w:b/>
        </w:rPr>
      </w:pPr>
      <w:r w:rsidRPr="00EC0742">
        <w:rPr>
          <w:rFonts w:cstheme="minorHAnsi"/>
          <w:b/>
        </w:rPr>
        <w:t>§ 160</w:t>
      </w:r>
    </w:p>
    <w:p w:rsidR="00EC0742" w:rsidRPr="00A41273" w:rsidRDefault="00EC0742" w:rsidP="00E77422">
      <w:pPr>
        <w:rPr>
          <w:rFonts w:cstheme="minorHAnsi"/>
          <w:u w:val="single"/>
        </w:rPr>
      </w:pPr>
      <w:r w:rsidRPr="00A41273">
        <w:rPr>
          <w:rFonts w:cstheme="minorHAnsi"/>
          <w:u w:val="single"/>
        </w:rPr>
        <w:t>Dříve:</w:t>
      </w:r>
    </w:p>
    <w:p w:rsidR="00B43981" w:rsidRPr="00CC075A" w:rsidRDefault="00B43981" w:rsidP="00B43981">
      <w:pPr>
        <w:spacing w:after="180" w:line="367" w:lineRule="auto"/>
        <w:ind w:left="375"/>
        <w:rPr>
          <w:rFonts w:cstheme="minorHAnsi"/>
          <w:i/>
        </w:rPr>
      </w:pPr>
      <w:r w:rsidRPr="00CC075A">
        <w:rPr>
          <w:rFonts w:cstheme="minorHAnsi"/>
          <w:i/>
          <w:color w:val="000000"/>
        </w:rPr>
        <w:t>Lhůta pro placení daně</w:t>
      </w:r>
    </w:p>
    <w:tbl>
      <w:tblPr>
        <w:tblW w:w="0" w:type="auto"/>
        <w:tblCellSpacing w:w="0" w:type="dxa"/>
        <w:tblLook w:val="04A0" w:firstRow="1" w:lastRow="0" w:firstColumn="1" w:lastColumn="0" w:noHBand="0" w:noVBand="1"/>
      </w:tblPr>
      <w:tblGrid>
        <w:gridCol w:w="342"/>
        <w:gridCol w:w="8730"/>
      </w:tblGrid>
      <w:tr w:rsidR="00B43981" w:rsidRPr="00CC075A" w:rsidTr="00B43981">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(1)</w:t>
            </w:r>
          </w:p>
        </w:tc>
        <w:tc>
          <w:tcPr>
            <w:tcW w:w="12574"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Nedoplatek nelze vybrat a vymáhat po uplynutí lhůty pro placení daně, která činí 6 let. Lhůta pro placení daně začne běžet dnem splatnosti daně. Jde-li o nedoplatek z částky daně, k jejíž úhradě byla stanovena náhradní lhůta splatnosti, začne lhůta pro placení běžet náhradním dnem splatnosti daně.</w:t>
            </w:r>
          </w:p>
        </w:tc>
      </w:tr>
      <w:tr w:rsidR="00B43981" w:rsidRPr="00CC075A" w:rsidTr="00B43981">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(2)</w:t>
            </w:r>
          </w:p>
        </w:tc>
        <w:tc>
          <w:tcPr>
            <w:tcW w:w="12574"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Byl-li před uplynutím lhůty pro placení daně správcem daně učiněn úkon podle odstavce 3, běží lhůta pro placení daně znovu ode dne, v němž byl tento úkon učiněn.</w:t>
            </w:r>
          </w:p>
        </w:tc>
      </w:tr>
      <w:tr w:rsidR="00B43981" w:rsidRPr="00CC075A" w:rsidTr="00B43981">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lastRenderedPageBreak/>
              <w:t>(3)</w:t>
            </w:r>
          </w:p>
        </w:tc>
        <w:tc>
          <w:tcPr>
            <w:tcW w:w="12574"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Úkonem přerušujícím běh lhůty pro placení daně je</w:t>
            </w:r>
          </w:p>
          <w:tbl>
            <w:tblPr>
              <w:tblW w:w="0" w:type="auto"/>
              <w:tblCellSpacing w:w="0" w:type="dxa"/>
              <w:tblLook w:val="04A0" w:firstRow="1" w:lastRow="0" w:firstColumn="1" w:lastColumn="0" w:noHBand="0" w:noVBand="1"/>
            </w:tblPr>
            <w:tblGrid>
              <w:gridCol w:w="318"/>
              <w:gridCol w:w="8337"/>
            </w:tblGrid>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a)</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zahájení exekučního řízení podle tohoto nebo jiného zákona,</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b)</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zřízení zástavního práva, nebo</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c)</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oznámení rozhodnutí o posečkání.</w:t>
                  </w:r>
                </w:p>
              </w:tc>
            </w:tr>
          </w:tbl>
          <w:p w:rsidR="00B43981" w:rsidRPr="00CC075A" w:rsidRDefault="00B43981">
            <w:pPr>
              <w:rPr>
                <w:rFonts w:cstheme="minorHAnsi"/>
                <w:i/>
              </w:rPr>
            </w:pPr>
          </w:p>
        </w:tc>
      </w:tr>
      <w:tr w:rsidR="00B43981" w:rsidRPr="00CC075A" w:rsidTr="00B43981">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(4)</w:t>
            </w:r>
          </w:p>
        </w:tc>
        <w:tc>
          <w:tcPr>
            <w:tcW w:w="12574"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Lhůta pro placení daně neběží po dobu</w:t>
            </w:r>
          </w:p>
          <w:tbl>
            <w:tblPr>
              <w:tblW w:w="0" w:type="auto"/>
              <w:tblCellSpacing w:w="0" w:type="dxa"/>
              <w:tblLook w:val="04A0" w:firstRow="1" w:lastRow="0" w:firstColumn="1" w:lastColumn="0" w:noHBand="0" w:noVBand="1"/>
            </w:tblPr>
            <w:tblGrid>
              <w:gridCol w:w="318"/>
              <w:gridCol w:w="8337"/>
            </w:tblGrid>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a)</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vymáhání daně soudem nebo soudním exekutorem,</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b)</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přihlášení daňové pohledávky do insolvenčního řízení nebo do veřejné dražby,</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c)</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odkladu daňové exekuce odložené na návrh</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d)</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daňové exekuce srážkami ze mzdy, nebo</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e)</w:t>
                  </w:r>
                </w:p>
              </w:tc>
              <w:tc>
                <w:tcPr>
                  <w:tcW w:w="12114"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dožádání mezinárodní pomoci při vymáhání nedoplatku.</w:t>
                  </w:r>
                </w:p>
              </w:tc>
            </w:tr>
          </w:tbl>
          <w:p w:rsidR="00B43981" w:rsidRPr="00CC075A" w:rsidRDefault="00B43981">
            <w:pPr>
              <w:rPr>
                <w:rFonts w:cstheme="minorHAnsi"/>
                <w:i/>
              </w:rPr>
            </w:pPr>
          </w:p>
        </w:tc>
      </w:tr>
      <w:tr w:rsidR="00B43981" w:rsidRPr="00CC075A" w:rsidTr="00B43981">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(5)</w:t>
            </w:r>
          </w:p>
        </w:tc>
        <w:tc>
          <w:tcPr>
            <w:tcW w:w="12574"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Lhůta pro placení daně končí nejpozději uplynutím 20 let od jejího počátku podle odstavce 1, s výjimkou nedoplatku zajištěného podle odstavce 6.</w:t>
            </w:r>
          </w:p>
        </w:tc>
      </w:tr>
      <w:tr w:rsidR="00B43981" w:rsidRPr="00CC075A" w:rsidTr="00B43981">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(6)</w:t>
            </w:r>
          </w:p>
        </w:tc>
        <w:tc>
          <w:tcPr>
            <w:tcW w:w="12574"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Je-li nedoplatek zajištěn zástavním právem, které se zapisuje do příslušného veřejného registru, zaniká právo vybrat a vymáhat nedoplatek uplynutím 30 let po tomto zápisu.</w:t>
            </w:r>
          </w:p>
        </w:tc>
      </w:tr>
    </w:tbl>
    <w:p w:rsidR="00EC0742" w:rsidRDefault="00EC0742" w:rsidP="00E77422">
      <w:pPr>
        <w:rPr>
          <w:rFonts w:cstheme="minorHAnsi"/>
          <w:b/>
        </w:rPr>
      </w:pPr>
    </w:p>
    <w:p w:rsidR="00B43981" w:rsidRPr="00A41273" w:rsidRDefault="00B43981" w:rsidP="00E77422">
      <w:pPr>
        <w:rPr>
          <w:rFonts w:cstheme="minorHAnsi"/>
          <w:u w:val="single"/>
        </w:rPr>
      </w:pPr>
      <w:r w:rsidRPr="00A41273">
        <w:rPr>
          <w:rFonts w:cstheme="minorHAnsi"/>
          <w:u w:val="single"/>
        </w:rPr>
        <w:t>Nyní:</w:t>
      </w:r>
    </w:p>
    <w:p w:rsidR="00B43981" w:rsidRDefault="00B43981" w:rsidP="00E77422">
      <w:pPr>
        <w:rPr>
          <w:rFonts w:cstheme="minorHAnsi"/>
          <w:b/>
        </w:rPr>
      </w:pPr>
    </w:p>
    <w:tbl>
      <w:tblPr>
        <w:tblW w:w="0" w:type="auto"/>
        <w:tblCellSpacing w:w="0" w:type="dxa"/>
        <w:tblLook w:val="04A0" w:firstRow="1" w:lastRow="0" w:firstColumn="1" w:lastColumn="0" w:noHBand="0" w:noVBand="1"/>
      </w:tblPr>
      <w:tblGrid>
        <w:gridCol w:w="9072"/>
      </w:tblGrid>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rsidP="00BF22B2">
            <w:pPr>
              <w:pStyle w:val="Odstavecseseznamem"/>
              <w:numPr>
                <w:ilvl w:val="0"/>
                <w:numId w:val="16"/>
              </w:numPr>
              <w:spacing w:after="60" w:line="367" w:lineRule="auto"/>
              <w:jc w:val="both"/>
              <w:rPr>
                <w:rFonts w:cstheme="minorHAnsi"/>
                <w:i/>
              </w:rPr>
            </w:pPr>
            <w:r w:rsidRPr="00CC075A">
              <w:rPr>
                <w:rFonts w:cstheme="minorHAnsi"/>
                <w:b/>
                <w:i/>
                <w:color w:val="444444"/>
              </w:rPr>
              <w:t>Daň</w:t>
            </w:r>
            <w:r w:rsidRPr="00CC075A">
              <w:rPr>
                <w:rFonts w:cstheme="minorHAnsi"/>
                <w:i/>
                <w:color w:val="444444"/>
              </w:rPr>
              <w:t xml:space="preserve"> nelze vybrat a vymáhat po uplynutí lhůty pro placení daně, která činí 6 let. Lhůta pro placení daně začne běžet dnem splatnosti daně. </w:t>
            </w:r>
          </w:p>
        </w:tc>
      </w:tr>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rsidP="00B43981">
            <w:pPr>
              <w:pStyle w:val="Odstavecseseznamem"/>
              <w:numPr>
                <w:ilvl w:val="0"/>
                <w:numId w:val="16"/>
              </w:numPr>
              <w:spacing w:after="60" w:line="367" w:lineRule="auto"/>
              <w:jc w:val="both"/>
              <w:rPr>
                <w:rFonts w:cstheme="minorHAnsi"/>
                <w:i/>
              </w:rPr>
            </w:pPr>
            <w:r w:rsidRPr="00CC075A">
              <w:rPr>
                <w:rFonts w:cstheme="minorHAnsi"/>
                <w:i/>
                <w:color w:val="444444"/>
              </w:rPr>
              <w:t>Byl-li před uplynutím lhůty pro placení daně správcem daně učiněn úkon podle odstavce 3, běží lhůta pro placení daně znovu ode dne, v němž byl tento úkon učiněn.</w:t>
            </w:r>
          </w:p>
        </w:tc>
      </w:tr>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3)  Úkonem přerušujícím běh lhůty pro placení daně je</w:t>
            </w:r>
          </w:p>
          <w:tbl>
            <w:tblPr>
              <w:tblW w:w="0" w:type="auto"/>
              <w:tblCellSpacing w:w="0" w:type="dxa"/>
              <w:tblLook w:val="04A0" w:firstRow="1" w:lastRow="0" w:firstColumn="1" w:lastColumn="0" w:noHBand="0" w:noVBand="1"/>
            </w:tblPr>
            <w:tblGrid>
              <w:gridCol w:w="290"/>
              <w:gridCol w:w="8707"/>
            </w:tblGrid>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a)</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b/>
                      <w:i/>
                    </w:rPr>
                  </w:pPr>
                  <w:r w:rsidRPr="00CC075A">
                    <w:rPr>
                      <w:rFonts w:cstheme="minorHAnsi"/>
                      <w:b/>
                      <w:i/>
                      <w:color w:val="444444"/>
                    </w:rPr>
                    <w:t>pravomocné stanovení daně,</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b)</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zahájení exekučního řízení podle tohoto nebo jiného zákona,</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c)</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zřízení zástavního práva, nebo</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d)</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oznámení rozhodnutí o posečkání nebo rozhodnutí, kterým se mění stanovená doba posečkání.</w:t>
                  </w:r>
                </w:p>
              </w:tc>
            </w:tr>
          </w:tbl>
          <w:p w:rsidR="00B43981" w:rsidRPr="00CC075A" w:rsidRDefault="00B43981">
            <w:pPr>
              <w:rPr>
                <w:rFonts w:cstheme="minorHAnsi"/>
                <w:i/>
              </w:rPr>
            </w:pPr>
          </w:p>
        </w:tc>
      </w:tr>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pPr>
              <w:spacing w:after="60" w:line="367" w:lineRule="auto"/>
              <w:ind w:left="435"/>
              <w:jc w:val="both"/>
              <w:rPr>
                <w:rFonts w:cstheme="minorHAnsi"/>
                <w:i/>
              </w:rPr>
            </w:pPr>
            <w:r w:rsidRPr="00CC075A">
              <w:rPr>
                <w:rFonts w:cstheme="minorHAnsi"/>
                <w:i/>
                <w:color w:val="444444"/>
              </w:rPr>
              <w:t>4) L hůta pro placení daně neběží po dobu</w:t>
            </w:r>
          </w:p>
          <w:tbl>
            <w:tblPr>
              <w:tblW w:w="0" w:type="auto"/>
              <w:tblCellSpacing w:w="0" w:type="dxa"/>
              <w:tblLook w:val="04A0" w:firstRow="1" w:lastRow="0" w:firstColumn="1" w:lastColumn="0" w:noHBand="0" w:noVBand="1"/>
            </w:tblPr>
            <w:tblGrid>
              <w:gridCol w:w="289"/>
              <w:gridCol w:w="8708"/>
            </w:tblGrid>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lastRenderedPageBreak/>
                    <w:t>a)</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vymáhání daně soudem nebo soudním exekutorem,</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b)</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přihlášení daňové pohledávky do insolvenčního řízení nebo do veřejné dražby,</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c)</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b/>
                      <w:i/>
                      <w:color w:val="444444"/>
                    </w:rPr>
                    <w:t>uplatnění pohledávky za majetkovou podstatou u osoby s dispozičními oprávněními během insolvenčního řízení</w:t>
                  </w:r>
                  <w:r w:rsidRPr="00CC075A">
                    <w:rPr>
                      <w:rFonts w:cstheme="minorHAnsi"/>
                      <w:i/>
                      <w:color w:val="444444"/>
                    </w:rPr>
                    <w:t>,</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d)</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b/>
                      <w:i/>
                    </w:rPr>
                  </w:pPr>
                  <w:r w:rsidRPr="00CC075A">
                    <w:rPr>
                      <w:rFonts w:cstheme="minorHAnsi"/>
                      <w:b/>
                      <w:i/>
                      <w:color w:val="444444"/>
                    </w:rPr>
                    <w:t>posečkání úhrady daně podle § 157a,</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e)</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odkladu daňové exekuce odložené na návrh,</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f)</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daňové exekuce srážkami ze mzdy, nebo</w:t>
                  </w:r>
                </w:p>
              </w:tc>
            </w:tr>
            <w:tr w:rsidR="00B43981" w:rsidRPr="00CC075A">
              <w:trPr>
                <w:trHeight w:val="30"/>
                <w:tblCellSpacing w:w="0" w:type="dxa"/>
              </w:trPr>
              <w:tc>
                <w:tcPr>
                  <w:tcW w:w="380" w:type="dxa"/>
                  <w:tcMar>
                    <w:top w:w="30" w:type="dxa"/>
                    <w:left w:w="15" w:type="dxa"/>
                    <w:bottom w:w="15" w:type="dxa"/>
                    <w:right w:w="15" w:type="dxa"/>
                  </w:tcMar>
                  <w:hideMark/>
                </w:tcPr>
                <w:p w:rsidR="00B43981" w:rsidRPr="00CC075A" w:rsidRDefault="00B43981">
                  <w:pPr>
                    <w:spacing w:after="0" w:line="367" w:lineRule="auto"/>
                    <w:rPr>
                      <w:rFonts w:cstheme="minorHAnsi"/>
                      <w:i/>
                    </w:rPr>
                  </w:pPr>
                  <w:r w:rsidRPr="00CC075A">
                    <w:rPr>
                      <w:rFonts w:cstheme="minorHAnsi"/>
                      <w:i/>
                      <w:color w:val="000000"/>
                    </w:rPr>
                    <w:t>g)</w:t>
                  </w:r>
                </w:p>
              </w:tc>
              <w:tc>
                <w:tcPr>
                  <w:tcW w:w="16641" w:type="dxa"/>
                  <w:tcMar>
                    <w:top w:w="30" w:type="dxa"/>
                    <w:left w:w="60" w:type="dxa"/>
                    <w:bottom w:w="15" w:type="dxa"/>
                    <w:right w:w="15" w:type="dxa"/>
                  </w:tcMar>
                  <w:vAlign w:val="center"/>
                  <w:hideMark/>
                </w:tcPr>
                <w:p w:rsidR="00B43981" w:rsidRPr="00CC075A" w:rsidRDefault="00B43981">
                  <w:pPr>
                    <w:spacing w:after="60" w:line="367" w:lineRule="auto"/>
                    <w:ind w:left="495"/>
                    <w:jc w:val="both"/>
                    <w:rPr>
                      <w:rFonts w:cstheme="minorHAnsi"/>
                      <w:i/>
                    </w:rPr>
                  </w:pPr>
                  <w:r w:rsidRPr="00CC075A">
                    <w:rPr>
                      <w:rFonts w:cstheme="minorHAnsi"/>
                      <w:i/>
                      <w:color w:val="444444"/>
                    </w:rPr>
                    <w:t>dožádání mezinárodní pomoci při vymáhání daně.</w:t>
                  </w:r>
                </w:p>
              </w:tc>
            </w:tr>
          </w:tbl>
          <w:p w:rsidR="00B43981" w:rsidRPr="00CC075A" w:rsidRDefault="00B43981">
            <w:pPr>
              <w:rPr>
                <w:rFonts w:cstheme="minorHAnsi"/>
                <w:i/>
              </w:rPr>
            </w:pPr>
          </w:p>
        </w:tc>
      </w:tr>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rsidP="00B43981">
            <w:pPr>
              <w:spacing w:after="60" w:line="367" w:lineRule="auto"/>
              <w:ind w:left="360"/>
              <w:jc w:val="both"/>
              <w:rPr>
                <w:rFonts w:cstheme="minorHAnsi"/>
                <w:i/>
              </w:rPr>
            </w:pPr>
            <w:r w:rsidRPr="00CC075A">
              <w:rPr>
                <w:rFonts w:cstheme="minorHAnsi"/>
                <w:i/>
                <w:color w:val="444444"/>
              </w:rPr>
              <w:lastRenderedPageBreak/>
              <w:t>5)Lhůta pro placení daně končí nejpozději uplynutím 20 let od jejího počátku podle odstavce 1, s výjimkou daně zajištěné podle odstavce 6.</w:t>
            </w:r>
          </w:p>
        </w:tc>
      </w:tr>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rsidP="00B43981">
            <w:pPr>
              <w:pStyle w:val="Odstavecseseznamem"/>
              <w:spacing w:after="60" w:line="367" w:lineRule="auto"/>
              <w:jc w:val="both"/>
              <w:rPr>
                <w:rFonts w:cstheme="minorHAnsi"/>
                <w:i/>
              </w:rPr>
            </w:pPr>
            <w:r w:rsidRPr="00CC075A">
              <w:rPr>
                <w:rFonts w:cstheme="minorHAnsi"/>
                <w:i/>
                <w:color w:val="444444"/>
              </w:rPr>
              <w:t>6)Je-li daň zajištěna zástavním právem, které se zapisuje do příslušného veřejného registru, zaniká právo vybrat a vymáhat daň uplynutím 30 let po tomto zápisu.</w:t>
            </w:r>
          </w:p>
        </w:tc>
      </w:tr>
      <w:tr w:rsidR="00B43981" w:rsidRPr="00CC075A" w:rsidTr="00B43981">
        <w:trPr>
          <w:trHeight w:val="30"/>
          <w:tblCellSpacing w:w="0" w:type="dxa"/>
        </w:trPr>
        <w:tc>
          <w:tcPr>
            <w:tcW w:w="17101" w:type="dxa"/>
            <w:tcMar>
              <w:top w:w="30" w:type="dxa"/>
              <w:left w:w="60" w:type="dxa"/>
              <w:bottom w:w="15" w:type="dxa"/>
              <w:right w:w="15" w:type="dxa"/>
            </w:tcMar>
            <w:vAlign w:val="center"/>
            <w:hideMark/>
          </w:tcPr>
          <w:p w:rsidR="00B43981" w:rsidRPr="00CC075A" w:rsidRDefault="00B43981" w:rsidP="00B43981">
            <w:pPr>
              <w:pStyle w:val="Odstavecseseznamem"/>
              <w:numPr>
                <w:ilvl w:val="0"/>
                <w:numId w:val="11"/>
              </w:numPr>
              <w:spacing w:after="60" w:line="367" w:lineRule="auto"/>
              <w:jc w:val="both"/>
              <w:rPr>
                <w:rFonts w:cstheme="minorHAnsi"/>
                <w:i/>
              </w:rPr>
            </w:pPr>
            <w:r w:rsidRPr="00CC075A">
              <w:rPr>
                <w:rFonts w:cstheme="minorHAnsi"/>
                <w:b/>
                <w:i/>
                <w:color w:val="444444"/>
              </w:rPr>
              <w:t>Lhůta pro placení daně neskončí dříve než lhůta pro stanovení této daně</w:t>
            </w:r>
            <w:r w:rsidRPr="00CC075A">
              <w:rPr>
                <w:rFonts w:cstheme="minorHAnsi"/>
                <w:i/>
                <w:color w:val="444444"/>
              </w:rPr>
              <w:t>.</w:t>
            </w:r>
          </w:p>
        </w:tc>
      </w:tr>
    </w:tbl>
    <w:p w:rsidR="00B43981" w:rsidRDefault="00B43981" w:rsidP="00E77422">
      <w:pPr>
        <w:rPr>
          <w:rFonts w:cstheme="minorHAnsi"/>
          <w:b/>
        </w:rPr>
      </w:pPr>
    </w:p>
    <w:p w:rsidR="00B43981" w:rsidRDefault="00395384" w:rsidP="00CC075A">
      <w:pPr>
        <w:jc w:val="both"/>
        <w:rPr>
          <w:rFonts w:cstheme="minorHAnsi"/>
        </w:rPr>
      </w:pPr>
      <w:r w:rsidRPr="00395384">
        <w:rPr>
          <w:rFonts w:cstheme="minorHAnsi"/>
        </w:rPr>
        <w:t xml:space="preserve">V této oblasti došlo ke sjednocení </w:t>
      </w:r>
      <w:r>
        <w:rPr>
          <w:rFonts w:cstheme="minorHAnsi"/>
        </w:rPr>
        <w:t xml:space="preserve">počátku běhu </w:t>
      </w:r>
      <w:r w:rsidRPr="00395384">
        <w:rPr>
          <w:rFonts w:cstheme="minorHAnsi"/>
        </w:rPr>
        <w:t xml:space="preserve">lhůt </w:t>
      </w:r>
      <w:r>
        <w:rPr>
          <w:rFonts w:cstheme="minorHAnsi"/>
        </w:rPr>
        <w:t>(ovšem řízení započatá před novelou dobíhají dle starého DŘ).</w:t>
      </w:r>
    </w:p>
    <w:p w:rsidR="00BF22B2" w:rsidRPr="00395384" w:rsidRDefault="005E766F" w:rsidP="00E77422">
      <w:pPr>
        <w:rPr>
          <w:rFonts w:cstheme="minorHAnsi"/>
        </w:rPr>
      </w:pPr>
      <w:r>
        <w:rPr>
          <w:lang w:val="en"/>
        </w:rPr>
        <w:t>1</w:t>
      </w:r>
      <w:r w:rsidR="00BF22B2">
        <w:rPr>
          <w:lang w:val="en"/>
        </w:rPr>
        <w:t xml:space="preserve"> daň (za</w:t>
      </w:r>
      <w:r>
        <w:rPr>
          <w:lang w:val="en"/>
        </w:rPr>
        <w:t xml:space="preserve"> jedno zdaňovací období) = 1</w:t>
      </w:r>
      <w:r w:rsidR="00BF22B2">
        <w:rPr>
          <w:lang w:val="en"/>
        </w:rPr>
        <w:t xml:space="preserve"> lhůta pro placení daně.</w:t>
      </w:r>
    </w:p>
    <w:p w:rsidR="00B43981" w:rsidRDefault="00BF22B2" w:rsidP="00CC075A">
      <w:pPr>
        <w:jc w:val="both"/>
        <w:rPr>
          <w:lang w:val="en"/>
        </w:rPr>
      </w:pPr>
      <w:r>
        <w:rPr>
          <w:lang w:val="en"/>
        </w:rPr>
        <w:t xml:space="preserve">Začátek této lhůty je vždy k původnímu dni splatnosti dané daně. Každé pravomocné stanovení daně (vyměření či doměření, a to </w:t>
      </w:r>
      <w:r>
        <w:rPr>
          <w:i/>
          <w:iCs/>
          <w:lang w:val="en"/>
        </w:rPr>
        <w:t>ex lege</w:t>
      </w:r>
      <w:r>
        <w:rPr>
          <w:lang w:val="en"/>
        </w:rPr>
        <w:t xml:space="preserve"> i rozhodnutím</w:t>
      </w:r>
      <w:r w:rsidR="007012E3">
        <w:rPr>
          <w:lang w:val="en"/>
        </w:rPr>
        <w:t xml:space="preserve"> - např. navýšení</w:t>
      </w:r>
      <w:r>
        <w:rPr>
          <w:lang w:val="en"/>
        </w:rPr>
        <w:t>) znamená přerušení běhu této lhůty. Obdobně to platí pro příslušenství daně, které je stanovováno samostatným rozhodnutím (např. pokuty či penále).</w:t>
      </w:r>
    </w:p>
    <w:p w:rsidR="007012E3" w:rsidRDefault="007012E3" w:rsidP="00E77422">
      <w:pPr>
        <w:rPr>
          <w:lang w:val="en"/>
        </w:rPr>
      </w:pPr>
      <w:r>
        <w:rPr>
          <w:lang w:val="en"/>
        </w:rPr>
        <w:t>Příklad:</w:t>
      </w:r>
    </w:p>
    <w:p w:rsidR="007012E3" w:rsidRDefault="007012E3" w:rsidP="00CC075A">
      <w:pPr>
        <w:jc w:val="both"/>
        <w:rPr>
          <w:lang w:val="en"/>
        </w:rPr>
      </w:pPr>
      <w:r>
        <w:rPr>
          <w:lang w:val="en"/>
        </w:rPr>
        <w:t>Mám pravomocný platební výměr za odpad. V případě, že dalším pla</w:t>
      </w:r>
      <w:r w:rsidR="00CC075A">
        <w:rPr>
          <w:lang w:val="en"/>
        </w:rPr>
        <w:t>tebním výměrem vyměřím navýšení</w:t>
      </w:r>
      <w:r>
        <w:rPr>
          <w:lang w:val="en"/>
        </w:rPr>
        <w:t>, doručím ho a výměr nabyde právní moci, přerušuje se běh lhůty splatnosti nejen u navýšení, ale i u původního platebního výměru.</w:t>
      </w:r>
    </w:p>
    <w:p w:rsidR="007012E3" w:rsidRDefault="007012E3" w:rsidP="00E77422">
      <w:pPr>
        <w:rPr>
          <w:rFonts w:cstheme="minorHAnsi"/>
          <w:b/>
        </w:rPr>
      </w:pPr>
    </w:p>
    <w:p w:rsidR="00B43981" w:rsidRDefault="00BF22B2" w:rsidP="00E77422">
      <w:pPr>
        <w:rPr>
          <w:rFonts w:cstheme="minorHAnsi"/>
          <w:b/>
        </w:rPr>
      </w:pPr>
      <w:r>
        <w:rPr>
          <w:rFonts w:cstheme="minorHAnsi"/>
          <w:b/>
        </w:rPr>
        <w:t>Nový § 160a:</w:t>
      </w:r>
    </w:p>
    <w:p w:rsidR="00BF22B2" w:rsidRDefault="00BF22B2" w:rsidP="00E77422">
      <w:pPr>
        <w:rPr>
          <w:rFonts w:cstheme="minorHAnsi"/>
        </w:rPr>
      </w:pPr>
      <w:r w:rsidRPr="00CC075A">
        <w:rPr>
          <w:rFonts w:cstheme="minorHAnsi"/>
          <w:i/>
        </w:rPr>
        <w:t>Nepožádá-li daňový subjekt o vrácení vratitelného přeplatku do 6 let od konce roku, ve kterém přeplatek vznikl, přeplatek zaniká a stává se příjmem rozpočtu, ze kterého je hrazena činnost správce daně, který jej evidoval</w:t>
      </w:r>
      <w:r>
        <w:rPr>
          <w:rFonts w:cstheme="minorHAnsi"/>
        </w:rPr>
        <w:t>.</w:t>
      </w:r>
    </w:p>
    <w:p w:rsidR="00044BED" w:rsidRDefault="00044BED" w:rsidP="00E77422">
      <w:pPr>
        <w:rPr>
          <w:rFonts w:cstheme="minorHAnsi"/>
        </w:rPr>
      </w:pPr>
    </w:p>
    <w:p w:rsidR="00BF22B2" w:rsidRDefault="00BF22B2" w:rsidP="00E77422">
      <w:pPr>
        <w:rPr>
          <w:rFonts w:cstheme="minorHAnsi"/>
        </w:rPr>
      </w:pPr>
    </w:p>
    <w:p w:rsidR="00BF22B2" w:rsidRDefault="00BF22B2" w:rsidP="00BF22B2">
      <w:pPr>
        <w:pStyle w:val="Odstavecseseznamem"/>
        <w:numPr>
          <w:ilvl w:val="0"/>
          <w:numId w:val="7"/>
        </w:numPr>
        <w:rPr>
          <w:b/>
          <w:sz w:val="28"/>
          <w:szCs w:val="28"/>
        </w:rPr>
      </w:pPr>
      <w:r>
        <w:rPr>
          <w:b/>
          <w:sz w:val="28"/>
          <w:szCs w:val="28"/>
        </w:rPr>
        <w:lastRenderedPageBreak/>
        <w:t>Námitka</w:t>
      </w:r>
    </w:p>
    <w:p w:rsidR="00BF22B2" w:rsidRDefault="007012E3" w:rsidP="00BF22B2">
      <w:r>
        <w:t>§ 159</w:t>
      </w:r>
    </w:p>
    <w:p w:rsidR="007012E3" w:rsidRPr="00BE2EBF" w:rsidRDefault="007012E3" w:rsidP="00BF22B2">
      <w:pPr>
        <w:rPr>
          <w:u w:val="single"/>
        </w:rPr>
      </w:pPr>
      <w:r w:rsidRPr="00BE2EBF">
        <w:rPr>
          <w:u w:val="single"/>
        </w:rPr>
        <w:t>Dříve:</w:t>
      </w:r>
    </w:p>
    <w:p w:rsidR="00B1625F" w:rsidRPr="00CC075A" w:rsidRDefault="00B1625F" w:rsidP="00B1625F">
      <w:pPr>
        <w:pStyle w:val="Odstavecseseznamem"/>
        <w:numPr>
          <w:ilvl w:val="0"/>
          <w:numId w:val="20"/>
        </w:numPr>
        <w:rPr>
          <w:i/>
        </w:rPr>
      </w:pPr>
      <w:r w:rsidRPr="00CC075A">
        <w:rPr>
          <w:bCs/>
          <w:i/>
        </w:rPr>
        <w:t>Proti úkonu správce daně při placení daní, nejde-li o rozhodnutí, u kterého zákon připouští podání odvolání, může osoba zúčastněná na správě daní uplatnit námitku ve lhůtě 30 dnů ode dne, kdy se o úkonu dozvěděla.</w:t>
      </w:r>
    </w:p>
    <w:p w:rsidR="00B1625F" w:rsidRPr="00CC075A" w:rsidRDefault="00B1625F" w:rsidP="00B1625F">
      <w:pPr>
        <w:pStyle w:val="Odstavecseseznamem"/>
        <w:numPr>
          <w:ilvl w:val="0"/>
          <w:numId w:val="20"/>
        </w:numPr>
        <w:rPr>
          <w:i/>
        </w:rPr>
      </w:pPr>
      <w:r w:rsidRPr="00CC075A">
        <w:rPr>
          <w:bCs/>
          <w:i/>
        </w:rPr>
        <w:t>Námitka se podává u správce daně, který úkon provedl.</w:t>
      </w:r>
    </w:p>
    <w:p w:rsidR="00B1625F" w:rsidRPr="00CC075A" w:rsidRDefault="00B1625F" w:rsidP="00B1625F">
      <w:pPr>
        <w:pStyle w:val="Odstavecseseznamem"/>
        <w:numPr>
          <w:ilvl w:val="0"/>
          <w:numId w:val="20"/>
        </w:numPr>
        <w:rPr>
          <w:i/>
        </w:rPr>
      </w:pPr>
      <w:r w:rsidRPr="00CC075A">
        <w:rPr>
          <w:bCs/>
          <w:i/>
        </w:rPr>
        <w:t>Správce daně námitku posoudí a rozhodne o ní. Vyhoví-li námitce v plném rozsahu, napadený úkon zruší, a vyhoví-li námitce částečně, napadený úkon změní nebo zjedná nápravu jiným způsobem. Neuzná-li správce daně oprávněnost v námitce uplatňovaných důvodů, námitku rozhodnutím zamítne. Rozhodnutí, kterým je námitce v plném rozsahu vyhověno, se neodůvodňuje.</w:t>
      </w:r>
    </w:p>
    <w:p w:rsidR="00B1625F" w:rsidRPr="00CC075A" w:rsidRDefault="00B1625F" w:rsidP="00B1625F">
      <w:pPr>
        <w:pStyle w:val="Odstavecseseznamem"/>
        <w:numPr>
          <w:ilvl w:val="0"/>
          <w:numId w:val="20"/>
        </w:numPr>
        <w:rPr>
          <w:i/>
        </w:rPr>
      </w:pPr>
      <w:r w:rsidRPr="00CC075A">
        <w:rPr>
          <w:bCs/>
          <w:i/>
        </w:rPr>
        <w:t>V řízení o námitce se použije obdobně § 111 odst. 5 a § 112. Proti rozhodnutí o námitce nelze uplatnit opravné prostředky.</w:t>
      </w:r>
    </w:p>
    <w:p w:rsidR="00B1625F" w:rsidRPr="00BE2EBF" w:rsidRDefault="00B1625F" w:rsidP="00BF22B2">
      <w:pPr>
        <w:rPr>
          <w:u w:val="single"/>
        </w:rPr>
      </w:pPr>
      <w:r w:rsidRPr="00BE2EBF">
        <w:rPr>
          <w:u w:val="single"/>
        </w:rPr>
        <w:t>Nyní:</w:t>
      </w:r>
    </w:p>
    <w:tbl>
      <w:tblPr>
        <w:tblW w:w="0" w:type="auto"/>
        <w:tblCellSpacing w:w="0" w:type="dxa"/>
        <w:tblCellMar>
          <w:left w:w="0" w:type="dxa"/>
          <w:right w:w="0" w:type="dxa"/>
        </w:tblCellMar>
        <w:tblLook w:val="04A0" w:firstRow="1" w:lastRow="0" w:firstColumn="1" w:lastColumn="0" w:noHBand="0" w:noVBand="1"/>
      </w:tblPr>
      <w:tblGrid>
        <w:gridCol w:w="8222"/>
        <w:gridCol w:w="850"/>
      </w:tblGrid>
      <w:tr w:rsidR="00282975" w:rsidRPr="00282975" w:rsidTr="00B1625F">
        <w:trPr>
          <w:gridAfter w:val="1"/>
          <w:wAfter w:w="850" w:type="dxa"/>
          <w:tblCellSpacing w:w="0" w:type="dxa"/>
        </w:trPr>
        <w:tc>
          <w:tcPr>
            <w:tcW w:w="8222" w:type="dxa"/>
            <w:vAlign w:val="center"/>
          </w:tcPr>
          <w:p w:rsidR="00282975" w:rsidRPr="00CC075A" w:rsidRDefault="00B1625F" w:rsidP="00B1625F">
            <w:pPr>
              <w:pStyle w:val="Odstavecseseznamem"/>
              <w:numPr>
                <w:ilvl w:val="0"/>
                <w:numId w:val="19"/>
              </w:numPr>
              <w:spacing w:before="100" w:beforeAutospacing="1" w:after="100" w:afterAutospacing="1" w:line="240" w:lineRule="auto"/>
              <w:jc w:val="both"/>
              <w:rPr>
                <w:rStyle w:val="upd"/>
                <w:rFonts w:eastAsia="Times New Roman" w:cstheme="minorHAnsi"/>
                <w:b/>
                <w:i/>
                <w:lang w:eastAsia="cs-CZ"/>
              </w:rPr>
            </w:pPr>
            <w:r w:rsidRPr="00CC075A">
              <w:rPr>
                <w:i/>
              </w:rPr>
              <w:t xml:space="preserve">Proti úkonu správce daně při placení daní, nejde-li o rozhodnutí, u kterého zákon připouští podání odvolání, může osoba zúčastněná na správě daní uplatnit námitku ve lhůtě 30 dnů ode dne, kdy se o úkonu dozvěděla. </w:t>
            </w:r>
            <w:r w:rsidRPr="00CC075A">
              <w:rPr>
                <w:rStyle w:val="upd"/>
                <w:b/>
                <w:i/>
              </w:rPr>
              <w:t>Vyrozumívá-li správce daně osobu zúčastněnou na správě daní o úkonu při placení daní, proti němuž lze uplatnit námitku, poučí ji současně o možnosti jejího uplatnění.</w:t>
            </w:r>
          </w:p>
          <w:p w:rsidR="00B1625F" w:rsidRPr="00CC075A" w:rsidRDefault="00B1625F" w:rsidP="00B1625F">
            <w:pPr>
              <w:pStyle w:val="Odstavecseseznamem"/>
              <w:numPr>
                <w:ilvl w:val="0"/>
                <w:numId w:val="19"/>
              </w:numPr>
              <w:spacing w:before="100" w:beforeAutospacing="1" w:after="100" w:afterAutospacing="1" w:line="240" w:lineRule="auto"/>
              <w:jc w:val="both"/>
              <w:rPr>
                <w:rFonts w:eastAsia="Times New Roman" w:cstheme="minorHAnsi"/>
                <w:i/>
                <w:lang w:eastAsia="cs-CZ"/>
              </w:rPr>
            </w:pPr>
            <w:r w:rsidRPr="00CC075A">
              <w:rPr>
                <w:i/>
              </w:rPr>
              <w:t>Námitka se podává u správce daně, který úkon provedl.</w:t>
            </w:r>
          </w:p>
          <w:p w:rsidR="00B1625F" w:rsidRPr="00CC075A" w:rsidRDefault="00B1625F" w:rsidP="00B1625F">
            <w:pPr>
              <w:pStyle w:val="Odstavecseseznamem"/>
              <w:numPr>
                <w:ilvl w:val="0"/>
                <w:numId w:val="19"/>
              </w:numPr>
              <w:spacing w:before="100" w:beforeAutospacing="1" w:after="100" w:afterAutospacing="1" w:line="240" w:lineRule="auto"/>
              <w:jc w:val="both"/>
              <w:rPr>
                <w:rFonts w:eastAsia="Times New Roman" w:cstheme="minorHAnsi"/>
                <w:i/>
                <w:lang w:eastAsia="cs-CZ"/>
              </w:rPr>
            </w:pPr>
            <w:r w:rsidRPr="00CC075A">
              <w:rPr>
                <w:i/>
              </w:rPr>
              <w:t>Správce daně námitku posoudí a rozhodne o ní. Vyhoví-li námitce v plném rozsahu, napadený úkon zruší, a vyhoví-li námitce částečně, napadený úkon změní nebo zjedná nápravu jiným způsobem. Neuzná-li správce daně oprávněnost v námitce uplatňovaných důvodů, námitku rozhodnutím zamítne. Rozhodnutí, kterým je námitce v plném rozsahu vyhověno, se neodůvodňuje.</w:t>
            </w:r>
          </w:p>
          <w:p w:rsidR="00B1625F" w:rsidRPr="00CC075A" w:rsidRDefault="00B1625F" w:rsidP="00B1625F">
            <w:pPr>
              <w:pStyle w:val="Odstavecseseznamem"/>
              <w:numPr>
                <w:ilvl w:val="0"/>
                <w:numId w:val="19"/>
              </w:numPr>
              <w:spacing w:before="100" w:beforeAutospacing="1" w:after="100" w:afterAutospacing="1" w:line="240" w:lineRule="auto"/>
              <w:jc w:val="both"/>
              <w:rPr>
                <w:rFonts w:eastAsia="Times New Roman" w:cstheme="minorHAnsi"/>
                <w:i/>
                <w:lang w:eastAsia="cs-CZ"/>
              </w:rPr>
            </w:pPr>
            <w:r w:rsidRPr="00CC075A">
              <w:rPr>
                <w:i/>
              </w:rPr>
              <w:t>V řízení o námitce se použije obdobně § 111 odst. 5 a § 112. Proti rozhodnutí o námitce nelze uplatnit opravné prostředky.</w:t>
            </w:r>
          </w:p>
          <w:p w:rsidR="00B1625F" w:rsidRPr="00CC075A" w:rsidRDefault="00B1625F" w:rsidP="00B1625F">
            <w:pPr>
              <w:pStyle w:val="Odstavecseseznamem"/>
              <w:numPr>
                <w:ilvl w:val="0"/>
                <w:numId w:val="19"/>
              </w:numPr>
              <w:spacing w:before="100" w:beforeAutospacing="1" w:after="100" w:afterAutospacing="1" w:line="240" w:lineRule="auto"/>
              <w:jc w:val="both"/>
              <w:rPr>
                <w:rStyle w:val="upd"/>
                <w:rFonts w:eastAsia="Times New Roman" w:cstheme="minorHAnsi"/>
                <w:b/>
                <w:i/>
                <w:lang w:eastAsia="cs-CZ"/>
              </w:rPr>
            </w:pPr>
            <w:r w:rsidRPr="00CC075A">
              <w:rPr>
                <w:rStyle w:val="upd"/>
                <w:b/>
                <w:i/>
              </w:rPr>
              <w:t>V případě, kdy námitka směřuje proti rozhodnutí správce daně, je řádným opravným prostředkem proti tomuto rozhodnutí. Řádným opravným prostředkem námitka není ve vztahu k ustanovení vylučujícímu uplatnění řádného opravného prostředku.</w:t>
            </w:r>
          </w:p>
          <w:p w:rsidR="00B1625F" w:rsidRPr="004F335E" w:rsidRDefault="00B1625F" w:rsidP="00B1625F">
            <w:pPr>
              <w:pStyle w:val="Odstavecseseznamem"/>
              <w:numPr>
                <w:ilvl w:val="0"/>
                <w:numId w:val="19"/>
              </w:numPr>
              <w:spacing w:before="100" w:beforeAutospacing="1" w:after="100" w:afterAutospacing="1" w:line="240" w:lineRule="auto"/>
              <w:jc w:val="both"/>
              <w:rPr>
                <w:rFonts w:eastAsia="Times New Roman" w:cstheme="minorHAnsi"/>
                <w:b/>
                <w:lang w:eastAsia="cs-CZ"/>
              </w:rPr>
            </w:pPr>
            <w:r w:rsidRPr="00CC075A">
              <w:rPr>
                <w:rStyle w:val="upd"/>
                <w:b/>
                <w:i/>
              </w:rPr>
              <w:t>Ochrany před nečinností správce daně při placení daní se lze namísto podnětu na nečinnost domáhat prostřednictvím námitky.</w:t>
            </w:r>
          </w:p>
        </w:tc>
      </w:tr>
      <w:tr w:rsidR="00282975" w:rsidRPr="00282975" w:rsidTr="00B1625F">
        <w:trPr>
          <w:tblCellSpacing w:w="0" w:type="dxa"/>
        </w:trPr>
        <w:tc>
          <w:tcPr>
            <w:tcW w:w="8222" w:type="dxa"/>
            <w:vAlign w:val="center"/>
          </w:tcPr>
          <w:p w:rsidR="00B1625F" w:rsidRPr="00282975" w:rsidRDefault="00B1625F" w:rsidP="00282975">
            <w:pPr>
              <w:spacing w:after="0" w:line="240" w:lineRule="auto"/>
              <w:rPr>
                <w:rFonts w:eastAsia="Times New Roman" w:cstheme="minorHAnsi"/>
                <w:lang w:eastAsia="cs-CZ"/>
              </w:rPr>
            </w:pPr>
          </w:p>
        </w:tc>
        <w:tc>
          <w:tcPr>
            <w:tcW w:w="850" w:type="dxa"/>
            <w:vAlign w:val="center"/>
          </w:tcPr>
          <w:p w:rsidR="00282975" w:rsidRPr="00282975" w:rsidRDefault="00282975" w:rsidP="00282975">
            <w:pPr>
              <w:spacing w:before="100" w:beforeAutospacing="1" w:after="100" w:afterAutospacing="1" w:line="240" w:lineRule="auto"/>
              <w:rPr>
                <w:rFonts w:eastAsia="Times New Roman" w:cstheme="minorHAnsi"/>
                <w:lang w:eastAsia="cs-CZ"/>
              </w:rPr>
            </w:pPr>
          </w:p>
        </w:tc>
      </w:tr>
      <w:tr w:rsidR="00282975" w:rsidRPr="00282975" w:rsidTr="00B1625F">
        <w:trPr>
          <w:tblCellSpacing w:w="0" w:type="dxa"/>
        </w:trPr>
        <w:tc>
          <w:tcPr>
            <w:tcW w:w="8222" w:type="dxa"/>
            <w:vAlign w:val="center"/>
          </w:tcPr>
          <w:p w:rsidR="00282975" w:rsidRPr="00282975" w:rsidRDefault="004F335E" w:rsidP="005E766F">
            <w:pPr>
              <w:spacing w:after="0" w:line="240" w:lineRule="auto"/>
              <w:jc w:val="both"/>
              <w:rPr>
                <w:rFonts w:eastAsia="Times New Roman" w:cstheme="minorHAnsi"/>
                <w:lang w:eastAsia="cs-CZ"/>
              </w:rPr>
            </w:pPr>
            <w:r>
              <w:rPr>
                <w:rFonts w:eastAsia="Times New Roman" w:cstheme="minorHAnsi"/>
                <w:lang w:eastAsia="cs-CZ"/>
              </w:rPr>
              <w:t xml:space="preserve">Posílení zásady poučovací – ve všech případech, kde lze uplatnit námitka, je správce daně povinen </w:t>
            </w:r>
            <w:r w:rsidR="004F0BA6">
              <w:rPr>
                <w:rFonts w:eastAsia="Times New Roman" w:cstheme="minorHAnsi"/>
                <w:lang w:eastAsia="cs-CZ"/>
              </w:rPr>
              <w:t xml:space="preserve">poučit </w:t>
            </w:r>
            <w:r>
              <w:rPr>
                <w:rFonts w:cstheme="minorHAnsi"/>
                <w:lang w:val="en"/>
              </w:rPr>
              <w:t>osobu zúčastněnou</w:t>
            </w:r>
            <w:r w:rsidRPr="004F335E">
              <w:rPr>
                <w:rFonts w:cstheme="minorHAnsi"/>
                <w:lang w:val="en"/>
              </w:rPr>
              <w:t xml:space="preserve"> na správě daní </w:t>
            </w:r>
            <w:r>
              <w:rPr>
                <w:rFonts w:eastAsia="Times New Roman" w:cstheme="minorHAnsi"/>
                <w:lang w:eastAsia="cs-CZ"/>
              </w:rPr>
              <w:t xml:space="preserve">o této možnosti (nejde jen o rozhodnutí, ale i vyrozumění o úkonu při placení daní) – </w:t>
            </w:r>
            <w:r w:rsidR="005E766F">
              <w:rPr>
                <w:rFonts w:eastAsia="Times New Roman" w:cstheme="minorHAnsi"/>
                <w:lang w:eastAsia="cs-CZ"/>
              </w:rPr>
              <w:t>poučení musí tedy být obsaženo</w:t>
            </w:r>
            <w:r>
              <w:rPr>
                <w:rFonts w:eastAsia="Times New Roman" w:cstheme="minorHAnsi"/>
                <w:lang w:eastAsia="cs-CZ"/>
              </w:rPr>
              <w:t xml:space="preserve"> např. v exekučním příkazu a dokonce </w:t>
            </w:r>
            <w:r w:rsidR="005E766F">
              <w:rPr>
                <w:rFonts w:eastAsia="Times New Roman" w:cstheme="minorHAnsi"/>
                <w:lang w:eastAsia="cs-CZ"/>
              </w:rPr>
              <w:t xml:space="preserve">i </w:t>
            </w:r>
            <w:r>
              <w:rPr>
                <w:rFonts w:eastAsia="Times New Roman" w:cstheme="minorHAnsi"/>
                <w:lang w:eastAsia="cs-CZ"/>
              </w:rPr>
              <w:t>ve vyrozumění o jeho právní moci.</w:t>
            </w:r>
          </w:p>
        </w:tc>
        <w:tc>
          <w:tcPr>
            <w:tcW w:w="850" w:type="dxa"/>
            <w:vAlign w:val="center"/>
          </w:tcPr>
          <w:p w:rsidR="00282975" w:rsidRPr="00282975" w:rsidRDefault="00282975" w:rsidP="005E766F">
            <w:pPr>
              <w:spacing w:before="100" w:beforeAutospacing="1" w:after="100" w:afterAutospacing="1" w:line="240" w:lineRule="auto"/>
              <w:jc w:val="both"/>
              <w:rPr>
                <w:rFonts w:eastAsia="Times New Roman" w:cstheme="minorHAnsi"/>
                <w:lang w:eastAsia="cs-CZ"/>
              </w:rPr>
            </w:pPr>
          </w:p>
        </w:tc>
      </w:tr>
      <w:tr w:rsidR="00282975" w:rsidRPr="00282975" w:rsidTr="00B1625F">
        <w:trPr>
          <w:tblCellSpacing w:w="0" w:type="dxa"/>
        </w:trPr>
        <w:tc>
          <w:tcPr>
            <w:tcW w:w="8222" w:type="dxa"/>
            <w:vAlign w:val="center"/>
          </w:tcPr>
          <w:p w:rsidR="00282975" w:rsidRPr="00282975" w:rsidRDefault="004F0BA6" w:rsidP="005E766F">
            <w:pPr>
              <w:spacing w:after="0" w:line="240" w:lineRule="auto"/>
              <w:jc w:val="both"/>
              <w:rPr>
                <w:rFonts w:eastAsia="Times New Roman" w:cstheme="minorHAnsi"/>
                <w:lang w:eastAsia="cs-CZ"/>
              </w:rPr>
            </w:pPr>
            <w:r>
              <w:rPr>
                <w:rFonts w:eastAsia="Times New Roman" w:cstheme="minorHAnsi"/>
                <w:lang w:eastAsia="cs-CZ"/>
              </w:rPr>
              <w:t>Námitka má přednost před stížností dle § 261 DŘ a lze se jí bránit také před nečinností správce daně (např. při nezavedení úroku vznikajícího ze zákona do evidence daní).</w:t>
            </w:r>
          </w:p>
        </w:tc>
        <w:tc>
          <w:tcPr>
            <w:tcW w:w="850" w:type="dxa"/>
            <w:vAlign w:val="center"/>
          </w:tcPr>
          <w:p w:rsidR="00282975" w:rsidRPr="00282975" w:rsidRDefault="00282975" w:rsidP="005E766F">
            <w:pPr>
              <w:spacing w:before="100" w:beforeAutospacing="1" w:after="100" w:afterAutospacing="1" w:line="240" w:lineRule="auto"/>
              <w:jc w:val="both"/>
              <w:rPr>
                <w:rFonts w:eastAsia="Times New Roman" w:cstheme="minorHAnsi"/>
                <w:lang w:eastAsia="cs-CZ"/>
              </w:rPr>
            </w:pPr>
          </w:p>
        </w:tc>
      </w:tr>
      <w:tr w:rsidR="00282975" w:rsidRPr="00282975" w:rsidTr="00B1625F">
        <w:trPr>
          <w:tblCellSpacing w:w="0" w:type="dxa"/>
        </w:trPr>
        <w:tc>
          <w:tcPr>
            <w:tcW w:w="8222" w:type="dxa"/>
            <w:vAlign w:val="center"/>
          </w:tcPr>
          <w:p w:rsidR="00282975" w:rsidRPr="00282975" w:rsidRDefault="004F0BA6" w:rsidP="005E766F">
            <w:pPr>
              <w:spacing w:after="0" w:line="240" w:lineRule="auto"/>
              <w:jc w:val="both"/>
              <w:rPr>
                <w:rFonts w:eastAsia="Times New Roman" w:cstheme="minorHAnsi"/>
                <w:lang w:eastAsia="cs-CZ"/>
              </w:rPr>
            </w:pPr>
            <w:r w:rsidRPr="004F335E">
              <w:rPr>
                <w:rFonts w:cstheme="minorHAnsi"/>
                <w:lang w:val="en"/>
              </w:rPr>
              <w:t xml:space="preserve">Ustanovení </w:t>
            </w:r>
            <w:hyperlink r:id="rId8" w:history="1">
              <w:r w:rsidRPr="005E766F">
                <w:rPr>
                  <w:rStyle w:val="Hypertextovodkaz"/>
                  <w:rFonts w:cstheme="minorHAnsi"/>
                  <w:color w:val="auto"/>
                  <w:u w:val="none"/>
                  <w:lang w:val="en"/>
                </w:rPr>
                <w:t>§ 68 soudního řádu správního</w:t>
              </w:r>
            </w:hyperlink>
            <w:r w:rsidRPr="004F335E">
              <w:rPr>
                <w:rFonts w:cstheme="minorHAnsi"/>
                <w:lang w:val="en"/>
              </w:rPr>
              <w:t xml:space="preserve"> stanoví, že žaloba je nepřípustná tehdy, nevyčerpal-li žalobce řádné opravné prostředky </w:t>
            </w:r>
            <w:r w:rsidR="005E766F">
              <w:rPr>
                <w:rFonts w:cstheme="minorHAnsi"/>
                <w:lang w:val="en"/>
              </w:rPr>
              <w:t xml:space="preserve">v řízení před správním orgánem – vzhledem k tomu, že námitka </w:t>
            </w:r>
            <w:r w:rsidRPr="004F335E">
              <w:rPr>
                <w:rFonts w:cstheme="minorHAnsi"/>
                <w:lang w:val="en"/>
              </w:rPr>
              <w:t xml:space="preserve">směřující proti rozhodnutí správce daně (vydaném v rámci platební roviny daňového řízení) je </w:t>
            </w:r>
            <w:r w:rsidR="005E766F">
              <w:rPr>
                <w:rFonts w:cstheme="minorHAnsi"/>
                <w:lang w:val="en"/>
              </w:rPr>
              <w:t>brána jako řádný opravný prostředek, je nutno vyčerpat před podáním žaloby i námitku</w:t>
            </w:r>
            <w:r w:rsidRPr="004F335E">
              <w:rPr>
                <w:rFonts w:cstheme="minorHAnsi"/>
                <w:lang w:val="en"/>
              </w:rPr>
              <w:t>.</w:t>
            </w:r>
          </w:p>
        </w:tc>
        <w:tc>
          <w:tcPr>
            <w:tcW w:w="850" w:type="dxa"/>
            <w:vAlign w:val="center"/>
          </w:tcPr>
          <w:p w:rsidR="00282975" w:rsidRPr="00282975" w:rsidRDefault="00282975" w:rsidP="005E766F">
            <w:pPr>
              <w:spacing w:before="100" w:beforeAutospacing="1" w:after="100" w:afterAutospacing="1" w:line="240" w:lineRule="auto"/>
              <w:jc w:val="both"/>
              <w:rPr>
                <w:rFonts w:eastAsia="Times New Roman" w:cstheme="minorHAnsi"/>
                <w:lang w:eastAsia="cs-CZ"/>
              </w:rPr>
            </w:pPr>
          </w:p>
        </w:tc>
      </w:tr>
      <w:tr w:rsidR="00282975" w:rsidRPr="00282975" w:rsidTr="00B1625F">
        <w:trPr>
          <w:tblCellSpacing w:w="0" w:type="dxa"/>
        </w:trPr>
        <w:tc>
          <w:tcPr>
            <w:tcW w:w="8222" w:type="dxa"/>
            <w:vAlign w:val="center"/>
          </w:tcPr>
          <w:p w:rsidR="00282975" w:rsidRPr="00282975" w:rsidRDefault="00282975" w:rsidP="00282975">
            <w:pPr>
              <w:spacing w:after="0" w:line="240" w:lineRule="auto"/>
              <w:rPr>
                <w:rFonts w:eastAsia="Times New Roman" w:cstheme="minorHAnsi"/>
                <w:lang w:eastAsia="cs-CZ"/>
              </w:rPr>
            </w:pPr>
          </w:p>
        </w:tc>
        <w:tc>
          <w:tcPr>
            <w:tcW w:w="850" w:type="dxa"/>
            <w:vAlign w:val="center"/>
          </w:tcPr>
          <w:p w:rsidR="00282975" w:rsidRPr="00282975" w:rsidRDefault="00282975" w:rsidP="00282975">
            <w:pPr>
              <w:spacing w:before="100" w:beforeAutospacing="1" w:after="100" w:afterAutospacing="1" w:line="240" w:lineRule="auto"/>
              <w:rPr>
                <w:rFonts w:eastAsia="Times New Roman" w:cstheme="minorHAnsi"/>
                <w:lang w:eastAsia="cs-CZ"/>
              </w:rPr>
            </w:pPr>
          </w:p>
        </w:tc>
      </w:tr>
    </w:tbl>
    <w:p w:rsidR="00BF22B2" w:rsidRDefault="00BF22B2" w:rsidP="00BF22B2">
      <w:pPr>
        <w:pStyle w:val="Odstavecseseznamem"/>
        <w:numPr>
          <w:ilvl w:val="0"/>
          <w:numId w:val="7"/>
        </w:numPr>
        <w:rPr>
          <w:b/>
          <w:sz w:val="28"/>
          <w:szCs w:val="28"/>
        </w:rPr>
      </w:pPr>
      <w:r>
        <w:rPr>
          <w:b/>
          <w:sz w:val="28"/>
          <w:szCs w:val="28"/>
        </w:rPr>
        <w:t>Daňová kontrola</w:t>
      </w:r>
    </w:p>
    <w:p w:rsidR="004F0BA6" w:rsidRDefault="00290AFE" w:rsidP="004F0BA6">
      <w:r>
        <w:t>Nově vložen díl 3 – Kontrolní postupy</w:t>
      </w:r>
    </w:p>
    <w:p w:rsidR="009A557D" w:rsidRDefault="00920B47" w:rsidP="009A557D">
      <w:pPr>
        <w:jc w:val="both"/>
      </w:pPr>
      <w:r>
        <w:t>Z důvodu eliminace obstrukcí ze strany daňového subjektu b</w:t>
      </w:r>
      <w:r w:rsidR="00290AFE">
        <w:t xml:space="preserve">yl zjednodušen postup při </w:t>
      </w:r>
      <w:r>
        <w:t>zahájení a</w:t>
      </w:r>
      <w:r w:rsidR="00374236">
        <w:t> </w:t>
      </w:r>
      <w:r w:rsidR="009A557D">
        <w:t>změně rozsahu daňové kontroly:</w:t>
      </w:r>
    </w:p>
    <w:p w:rsidR="009A557D" w:rsidRDefault="00920B47" w:rsidP="009A557D">
      <w:pPr>
        <w:jc w:val="both"/>
      </w:pPr>
      <w:r>
        <w:t xml:space="preserve">dříve </w:t>
      </w:r>
      <w:r w:rsidR="009A557D">
        <w:t xml:space="preserve">- </w:t>
      </w:r>
      <w:r>
        <w:t>for</w:t>
      </w:r>
      <w:r w:rsidR="009A557D">
        <w:t>mální postup pro její zahájení</w:t>
      </w:r>
    </w:p>
    <w:p w:rsidR="00920B47" w:rsidRDefault="00920B47" w:rsidP="009A557D">
      <w:pPr>
        <w:jc w:val="both"/>
      </w:pPr>
      <w:r>
        <w:t xml:space="preserve">nyní </w:t>
      </w:r>
      <w:r w:rsidR="009A557D">
        <w:t xml:space="preserve">- </w:t>
      </w:r>
      <w:r w:rsidR="00290AFE" w:rsidRPr="00920B47">
        <w:rPr>
          <w:b/>
        </w:rPr>
        <w:t>doručením</w:t>
      </w:r>
      <w:r w:rsidR="00290AFE">
        <w:t xml:space="preserve"> </w:t>
      </w:r>
      <w:r>
        <w:t>oznámení</w:t>
      </w:r>
      <w:r w:rsidR="00290AFE">
        <w:t xml:space="preserve">, tedy bez nutné součinnosti daňového subjektu. </w:t>
      </w:r>
    </w:p>
    <w:p w:rsidR="00290AFE" w:rsidRDefault="00290AFE" w:rsidP="009A557D">
      <w:pPr>
        <w:jc w:val="both"/>
      </w:pPr>
      <w:r>
        <w:t xml:space="preserve">Oznámení </w:t>
      </w:r>
      <w:r w:rsidR="00920B47">
        <w:t xml:space="preserve">o zahájení kontroly </w:t>
      </w:r>
      <w:r>
        <w:t>se doručuje korespondenčně nebo při ústním jednání</w:t>
      </w:r>
      <w:r w:rsidR="00920B47">
        <w:t xml:space="preserve"> </w:t>
      </w:r>
      <w:r w:rsidR="00920B47">
        <w:rPr>
          <w:lang w:val="en"/>
        </w:rPr>
        <w:t>(formou zaprotokolovaného jednání)</w:t>
      </w:r>
      <w:r>
        <w:t xml:space="preserve">, nezdůvodňuje se </w:t>
      </w:r>
      <w:r w:rsidR="00920B47">
        <w:t>(nejde-li o opakovanou kontrolu – zde se zdůvodňuje op</w:t>
      </w:r>
      <w:r w:rsidR="009A557D">
        <w:t>a</w:t>
      </w:r>
      <w:r w:rsidR="00920B47">
        <w:t xml:space="preserve">kování) </w:t>
      </w:r>
      <w:r>
        <w:t>a není proti němu možný opravný prostředek.</w:t>
      </w:r>
    </w:p>
    <w:p w:rsidR="009A557D" w:rsidRDefault="008D6790" w:rsidP="009A557D">
      <w:pPr>
        <w:jc w:val="both"/>
        <w:rPr>
          <w:lang w:val="en"/>
        </w:rPr>
      </w:pPr>
      <w:r>
        <w:rPr>
          <w:lang w:val="en"/>
        </w:rPr>
        <w:t>Zahájení daňové kontroly přerušuje lhůtu pro stanov</w:t>
      </w:r>
      <w:r w:rsidR="0049327B">
        <w:rPr>
          <w:lang w:val="en"/>
        </w:rPr>
        <w:t xml:space="preserve">ení daně podle § 148 odst. 3 DŘ, </w:t>
      </w:r>
      <w:r w:rsidR="00374236">
        <w:rPr>
          <w:lang w:val="en"/>
        </w:rPr>
        <w:t xml:space="preserve"> </w:t>
      </w:r>
      <w:r w:rsidR="0049327B">
        <w:rPr>
          <w:lang w:val="en"/>
        </w:rPr>
        <w:t xml:space="preserve">a to </w:t>
      </w:r>
      <w:r w:rsidR="00507154">
        <w:rPr>
          <w:lang w:val="en"/>
        </w:rPr>
        <w:t>i</w:t>
      </w:r>
      <w:r w:rsidR="0049327B">
        <w:rPr>
          <w:lang w:val="en"/>
        </w:rPr>
        <w:t xml:space="preserve"> v případě, že </w:t>
      </w:r>
      <w:r w:rsidR="00507154">
        <w:rPr>
          <w:lang w:val="en"/>
        </w:rPr>
        <w:t xml:space="preserve">daňový subjekt </w:t>
      </w:r>
      <w:r w:rsidR="00AD2F31">
        <w:rPr>
          <w:lang w:val="en"/>
        </w:rPr>
        <w:t>není při zahajování součinný a maří jej, pokud je pokus o zahájení kontroly vážný.</w:t>
      </w:r>
    </w:p>
    <w:p w:rsidR="00336F07" w:rsidRDefault="00336F07" w:rsidP="009A557D">
      <w:pPr>
        <w:jc w:val="both"/>
        <w:rPr>
          <w:lang w:val="en"/>
        </w:rPr>
      </w:pPr>
      <w:r>
        <w:rPr>
          <w:lang w:val="en"/>
        </w:rPr>
        <w:t>Výsledek kontrolního zjištění:</w:t>
      </w:r>
    </w:p>
    <w:p w:rsidR="00336F07" w:rsidRDefault="00374236" w:rsidP="00336F07">
      <w:pPr>
        <w:pStyle w:val="Odstavecseseznamem"/>
        <w:numPr>
          <w:ilvl w:val="0"/>
          <w:numId w:val="21"/>
        </w:numPr>
        <w:jc w:val="both"/>
        <w:rPr>
          <w:lang w:val="en"/>
        </w:rPr>
      </w:pPr>
      <w:r>
        <w:rPr>
          <w:lang w:val="en"/>
        </w:rPr>
        <w:t>d</w:t>
      </w:r>
      <w:r w:rsidR="00336F07">
        <w:rPr>
          <w:lang w:val="en"/>
        </w:rPr>
        <w:t>osavadní (neznamená dílčí nebo částečný)</w:t>
      </w:r>
    </w:p>
    <w:p w:rsidR="00336F07" w:rsidRDefault="00374236" w:rsidP="00336F07">
      <w:pPr>
        <w:pStyle w:val="Odstavecseseznamem"/>
        <w:numPr>
          <w:ilvl w:val="0"/>
          <w:numId w:val="21"/>
        </w:numPr>
        <w:jc w:val="both"/>
        <w:rPr>
          <w:lang w:val="en"/>
        </w:rPr>
      </w:pPr>
      <w:r>
        <w:rPr>
          <w:lang w:val="en"/>
        </w:rPr>
        <w:t>k</w:t>
      </w:r>
      <w:r w:rsidR="00336F07">
        <w:rPr>
          <w:lang w:val="en"/>
        </w:rPr>
        <w:t>onečný (finální, již zohledněny výhrady daňového subjektu)</w:t>
      </w:r>
    </w:p>
    <w:p w:rsidR="00336F07" w:rsidRPr="00336F07" w:rsidRDefault="000C05D5" w:rsidP="00336F07">
      <w:pPr>
        <w:jc w:val="both"/>
        <w:rPr>
          <w:lang w:val="en"/>
        </w:rPr>
      </w:pPr>
      <w:r>
        <w:rPr>
          <w:lang w:val="en"/>
        </w:rPr>
        <w:t>Pro oba platí, že z nich musí být patrné dosavadní hodnocení důkazních prostředků.</w:t>
      </w:r>
    </w:p>
    <w:p w:rsidR="00336F07" w:rsidRPr="006843FF" w:rsidRDefault="00EE1B1B" w:rsidP="001276CB">
      <w:pPr>
        <w:pStyle w:val="empty-p"/>
        <w:rPr>
          <w:rFonts w:asciiTheme="minorHAnsi" w:hAnsiTheme="minorHAnsi" w:cstheme="minorHAnsi"/>
          <w:sz w:val="22"/>
          <w:szCs w:val="22"/>
          <w:lang w:val="en"/>
        </w:rPr>
      </w:pPr>
      <w:r>
        <w:rPr>
          <w:rFonts w:asciiTheme="minorHAnsi" w:hAnsiTheme="minorHAnsi" w:cstheme="minorHAnsi"/>
          <w:sz w:val="22"/>
          <w:szCs w:val="22"/>
          <w:lang w:val="en"/>
        </w:rPr>
        <w:t>Před ukončením:</w:t>
      </w:r>
    </w:p>
    <w:p w:rsidR="00256536" w:rsidRPr="006843FF" w:rsidRDefault="00EE1B1B" w:rsidP="00256536">
      <w:pPr>
        <w:pStyle w:val="empty-p"/>
        <w:numPr>
          <w:ilvl w:val="0"/>
          <w:numId w:val="1"/>
        </w:numPr>
        <w:rPr>
          <w:rFonts w:asciiTheme="minorHAnsi" w:hAnsiTheme="minorHAnsi" w:cstheme="minorHAnsi"/>
          <w:sz w:val="22"/>
          <w:szCs w:val="22"/>
          <w:lang w:val="en"/>
        </w:rPr>
      </w:pPr>
      <w:r>
        <w:rPr>
          <w:rFonts w:asciiTheme="minorHAnsi" w:hAnsiTheme="minorHAnsi" w:cstheme="minorHAnsi"/>
          <w:sz w:val="22"/>
          <w:szCs w:val="22"/>
          <w:lang w:val="en"/>
        </w:rPr>
        <w:t>s</w:t>
      </w:r>
      <w:r w:rsidR="00256536" w:rsidRPr="006843FF">
        <w:rPr>
          <w:rFonts w:asciiTheme="minorHAnsi" w:hAnsiTheme="minorHAnsi" w:cstheme="minorHAnsi"/>
          <w:sz w:val="22"/>
          <w:szCs w:val="22"/>
          <w:lang w:val="en"/>
        </w:rPr>
        <w:t xml:space="preserve">dělení dosavadního výsledku kontrolního zjištění </w:t>
      </w:r>
      <w:r w:rsidR="00E34432" w:rsidRPr="006843FF">
        <w:rPr>
          <w:rFonts w:asciiTheme="minorHAnsi" w:hAnsiTheme="minorHAnsi" w:cstheme="minorHAnsi"/>
          <w:sz w:val="22"/>
          <w:szCs w:val="22"/>
          <w:lang w:val="en"/>
        </w:rPr>
        <w:t>(korespondenčně nebo při jednání)</w:t>
      </w:r>
      <w:r>
        <w:rPr>
          <w:rFonts w:asciiTheme="minorHAnsi" w:hAnsiTheme="minorHAnsi" w:cstheme="minorHAnsi"/>
          <w:sz w:val="22"/>
          <w:szCs w:val="22"/>
          <w:lang w:val="en"/>
        </w:rPr>
        <w:t>,</w:t>
      </w:r>
    </w:p>
    <w:p w:rsidR="00E34432" w:rsidRPr="006843FF" w:rsidRDefault="00EE1B1B" w:rsidP="00256536">
      <w:pPr>
        <w:pStyle w:val="empty-p"/>
        <w:numPr>
          <w:ilvl w:val="0"/>
          <w:numId w:val="1"/>
        </w:numPr>
        <w:rPr>
          <w:rFonts w:asciiTheme="minorHAnsi" w:hAnsiTheme="minorHAnsi" w:cstheme="minorHAnsi"/>
          <w:sz w:val="22"/>
          <w:szCs w:val="22"/>
          <w:lang w:val="en"/>
        </w:rPr>
      </w:pPr>
      <w:r>
        <w:rPr>
          <w:rFonts w:asciiTheme="minorHAnsi" w:hAnsiTheme="minorHAnsi" w:cstheme="minorHAnsi"/>
          <w:sz w:val="22"/>
          <w:szCs w:val="22"/>
          <w:lang w:val="en"/>
        </w:rPr>
        <w:t>p</w:t>
      </w:r>
      <w:r w:rsidR="006843FF" w:rsidRPr="006843FF">
        <w:rPr>
          <w:rFonts w:asciiTheme="minorHAnsi" w:hAnsiTheme="minorHAnsi" w:cstheme="minorHAnsi"/>
          <w:sz w:val="22"/>
          <w:szCs w:val="22"/>
          <w:lang w:val="en"/>
        </w:rPr>
        <w:t>řípadné navržení doplnění ze strany subjektu</w:t>
      </w:r>
      <w:r w:rsidR="00054F13">
        <w:rPr>
          <w:rFonts w:asciiTheme="minorHAnsi" w:hAnsiTheme="minorHAnsi" w:cstheme="minorHAnsi"/>
          <w:sz w:val="22"/>
          <w:szCs w:val="22"/>
          <w:lang w:val="en"/>
        </w:rPr>
        <w:t xml:space="preserve">, výhrada + </w:t>
      </w:r>
      <w:r w:rsidR="006843FF">
        <w:rPr>
          <w:rFonts w:asciiTheme="minorHAnsi" w:hAnsiTheme="minorHAnsi" w:cstheme="minorHAnsi"/>
          <w:sz w:val="22"/>
          <w:szCs w:val="22"/>
          <w:lang w:val="en"/>
        </w:rPr>
        <w:t xml:space="preserve"> zapracování</w:t>
      </w:r>
      <w:r w:rsidR="00271685">
        <w:rPr>
          <w:rFonts w:asciiTheme="minorHAnsi" w:hAnsiTheme="minorHAnsi" w:cstheme="minorHAnsi"/>
          <w:sz w:val="22"/>
          <w:szCs w:val="22"/>
          <w:lang w:val="en"/>
        </w:rPr>
        <w:t xml:space="preserve"> a udělení nové lhůty k případné reakci subjektu</w:t>
      </w:r>
      <w:r>
        <w:rPr>
          <w:rFonts w:asciiTheme="minorHAnsi" w:hAnsiTheme="minorHAnsi" w:cstheme="minorHAnsi"/>
          <w:sz w:val="22"/>
          <w:szCs w:val="22"/>
          <w:lang w:val="en"/>
        </w:rPr>
        <w:t>.</w:t>
      </w:r>
    </w:p>
    <w:p w:rsidR="008B07F4" w:rsidRPr="008B07F4" w:rsidRDefault="00EE1B1B" w:rsidP="00EE1B1B">
      <w:pPr>
        <w:pStyle w:val="p2"/>
        <w:jc w:val="both"/>
        <w:rPr>
          <w:rFonts w:asciiTheme="minorHAnsi" w:hAnsiTheme="minorHAnsi" w:cstheme="minorHAnsi"/>
          <w:sz w:val="22"/>
          <w:szCs w:val="22"/>
          <w:lang w:val="en"/>
        </w:rPr>
      </w:pPr>
      <w:r>
        <w:rPr>
          <w:rFonts w:asciiTheme="minorHAnsi" w:hAnsiTheme="minorHAnsi" w:cstheme="minorHAnsi"/>
          <w:sz w:val="22"/>
          <w:szCs w:val="22"/>
          <w:lang w:val="en"/>
        </w:rPr>
        <w:t>Pokud d</w:t>
      </w:r>
      <w:r w:rsidR="000867EF">
        <w:rPr>
          <w:rFonts w:asciiTheme="minorHAnsi" w:hAnsiTheme="minorHAnsi" w:cstheme="minorHAnsi"/>
          <w:sz w:val="22"/>
          <w:szCs w:val="22"/>
          <w:lang w:val="en"/>
        </w:rPr>
        <w:t>osavadní výsledek nenasvědčuje nesplnění povinnosti a není potřeba stanovi</w:t>
      </w:r>
      <w:r w:rsidR="00520BAF">
        <w:rPr>
          <w:rFonts w:asciiTheme="minorHAnsi" w:hAnsiTheme="minorHAnsi" w:cstheme="minorHAnsi"/>
          <w:sz w:val="22"/>
          <w:szCs w:val="22"/>
          <w:lang w:val="en"/>
        </w:rPr>
        <w:t>t daň z moci úřední nebo stanovi</w:t>
      </w:r>
      <w:r w:rsidR="000867EF">
        <w:rPr>
          <w:rFonts w:asciiTheme="minorHAnsi" w:hAnsiTheme="minorHAnsi" w:cstheme="minorHAnsi"/>
          <w:sz w:val="22"/>
          <w:szCs w:val="22"/>
          <w:lang w:val="en"/>
        </w:rPr>
        <w:t>t daň nad rámec tvrzené částky</w:t>
      </w:r>
      <w:r>
        <w:rPr>
          <w:rFonts w:asciiTheme="minorHAnsi" w:hAnsiTheme="minorHAnsi" w:cstheme="minorHAnsi"/>
          <w:sz w:val="22"/>
          <w:szCs w:val="22"/>
          <w:lang w:val="en"/>
        </w:rPr>
        <w:t>, je kontrola ukončena bez nálezu</w:t>
      </w:r>
      <w:r w:rsidR="000867EF">
        <w:rPr>
          <w:rFonts w:asciiTheme="minorHAnsi" w:hAnsiTheme="minorHAnsi" w:cstheme="minorHAnsi"/>
          <w:sz w:val="22"/>
          <w:szCs w:val="22"/>
          <w:lang w:val="en"/>
        </w:rPr>
        <w:t xml:space="preserve"> – správce daně rovnou doručí oznámení o ukončení daňové kontroly (zároveň zašle společně i zprávu o daňové kontrole, jejíž součástí je konečný výsledek kontrolního zjištění)</w:t>
      </w:r>
      <w:r w:rsidR="00271685">
        <w:rPr>
          <w:rFonts w:asciiTheme="minorHAnsi" w:hAnsiTheme="minorHAnsi" w:cstheme="minorHAnsi"/>
          <w:sz w:val="22"/>
          <w:szCs w:val="22"/>
          <w:lang w:val="en"/>
        </w:rPr>
        <w:t>.</w:t>
      </w:r>
      <w:r w:rsidR="008B07F4">
        <w:rPr>
          <w:rFonts w:asciiTheme="minorHAnsi" w:hAnsiTheme="minorHAnsi" w:cstheme="minorHAnsi"/>
          <w:sz w:val="22"/>
          <w:szCs w:val="22"/>
          <w:lang w:val="en"/>
        </w:rPr>
        <w:t xml:space="preserve"> Nevystavuje se rozhodnutí o zastavení vyměřovacího či doměřovacího řízení – zastaveno ex lege okamžikem doručení oznámení. V</w:t>
      </w:r>
      <w:r w:rsidR="008B07F4" w:rsidRPr="008B07F4">
        <w:rPr>
          <w:rFonts w:asciiTheme="minorHAnsi" w:hAnsiTheme="minorHAnsi" w:cstheme="minorHAnsi"/>
          <w:sz w:val="22"/>
          <w:szCs w:val="22"/>
          <w:lang w:val="en"/>
        </w:rPr>
        <w:t xml:space="preserve">yměřovací či doměřovací řízení zahájené </w:t>
      </w:r>
      <w:r w:rsidR="008B07F4" w:rsidRPr="00EE1B1B">
        <w:rPr>
          <w:rFonts w:asciiTheme="minorHAnsi" w:hAnsiTheme="minorHAnsi" w:cstheme="minorHAnsi"/>
          <w:sz w:val="22"/>
          <w:szCs w:val="22"/>
          <w:u w:val="single"/>
          <w:lang w:val="en"/>
        </w:rPr>
        <w:t>podáním daňového tvrzení</w:t>
      </w:r>
      <w:r w:rsidR="008B07F4" w:rsidRPr="008B07F4">
        <w:rPr>
          <w:rFonts w:asciiTheme="minorHAnsi" w:hAnsiTheme="minorHAnsi" w:cstheme="minorHAnsi"/>
          <w:sz w:val="22"/>
          <w:szCs w:val="22"/>
          <w:lang w:val="en"/>
        </w:rPr>
        <w:t xml:space="preserve"> je </w:t>
      </w:r>
      <w:r>
        <w:rPr>
          <w:rFonts w:asciiTheme="minorHAnsi" w:hAnsiTheme="minorHAnsi" w:cstheme="minorHAnsi"/>
          <w:sz w:val="22"/>
          <w:szCs w:val="22"/>
          <w:lang w:val="en"/>
        </w:rPr>
        <w:t xml:space="preserve">ale </w:t>
      </w:r>
      <w:r w:rsidR="008B07F4" w:rsidRPr="008B07F4">
        <w:rPr>
          <w:rFonts w:asciiTheme="minorHAnsi" w:hAnsiTheme="minorHAnsi" w:cstheme="minorHAnsi"/>
          <w:sz w:val="22"/>
          <w:szCs w:val="22"/>
          <w:lang w:val="en"/>
        </w:rPr>
        <w:t>nutné vždy ukončit stanovením daně, které je buďto v souladu s daňovým tvrzením (kontrola bez nálezu), anebo nad rámec tohoto tvrzení (kontrola s nálezem).</w:t>
      </w:r>
    </w:p>
    <w:p w:rsidR="00271685" w:rsidRDefault="00271685" w:rsidP="000867EF">
      <w:pPr>
        <w:pStyle w:val="empty-p"/>
        <w:rPr>
          <w:rFonts w:asciiTheme="minorHAnsi" w:hAnsiTheme="minorHAnsi" w:cstheme="minorHAnsi"/>
          <w:sz w:val="22"/>
          <w:szCs w:val="22"/>
          <w:lang w:val="en"/>
        </w:rPr>
      </w:pPr>
      <w:r>
        <w:rPr>
          <w:rFonts w:asciiTheme="minorHAnsi" w:hAnsiTheme="minorHAnsi" w:cstheme="minorHAnsi"/>
          <w:sz w:val="22"/>
          <w:szCs w:val="22"/>
          <w:lang w:val="en"/>
        </w:rPr>
        <w:t xml:space="preserve">Proti </w:t>
      </w:r>
      <w:r w:rsidR="00EE1B1B">
        <w:rPr>
          <w:rFonts w:asciiTheme="minorHAnsi" w:hAnsiTheme="minorHAnsi" w:cstheme="minorHAnsi"/>
          <w:sz w:val="22"/>
          <w:szCs w:val="22"/>
          <w:lang w:val="en"/>
        </w:rPr>
        <w:t>stanovení daně lze podat odvolání, popř. l</w:t>
      </w:r>
      <w:r>
        <w:rPr>
          <w:rFonts w:asciiTheme="minorHAnsi" w:hAnsiTheme="minorHAnsi" w:cstheme="minorHAnsi"/>
          <w:sz w:val="22"/>
          <w:szCs w:val="22"/>
          <w:lang w:val="en"/>
        </w:rPr>
        <w:t>ze podat stížnost na nesprávný úřední postup.</w:t>
      </w:r>
    </w:p>
    <w:p w:rsidR="00520BAF" w:rsidRPr="006843FF" w:rsidRDefault="00520BAF" w:rsidP="000867EF">
      <w:pPr>
        <w:pStyle w:val="empty-p"/>
        <w:rPr>
          <w:rFonts w:asciiTheme="minorHAnsi" w:hAnsiTheme="minorHAnsi" w:cstheme="minorHAnsi"/>
          <w:sz w:val="22"/>
          <w:szCs w:val="22"/>
          <w:lang w:val="en"/>
        </w:rPr>
      </w:pPr>
    </w:p>
    <w:p w:rsidR="00290AFE" w:rsidRDefault="00B55AD7" w:rsidP="001276CB">
      <w:pPr>
        <w:pStyle w:val="empty-p"/>
        <w:rPr>
          <w:lang w:val="en"/>
        </w:rPr>
      </w:pPr>
      <w:r>
        <w:rPr>
          <w:lang w:val="en"/>
        </w:rPr>
        <w:t> </w:t>
      </w:r>
      <w:r w:rsidR="001276CB">
        <w:rPr>
          <w:lang w:val="en"/>
        </w:rPr>
        <w:t> </w:t>
      </w:r>
    </w:p>
    <w:p w:rsidR="00290AFE" w:rsidRDefault="00290AFE" w:rsidP="00290AFE">
      <w:pPr>
        <w:pStyle w:val="empty-p"/>
        <w:rPr>
          <w:lang w:val="en"/>
        </w:rPr>
      </w:pPr>
      <w:r>
        <w:rPr>
          <w:lang w:val="en"/>
        </w:rPr>
        <w:t> </w:t>
      </w:r>
    </w:p>
    <w:p w:rsidR="004F0BA6" w:rsidRPr="004F0BA6" w:rsidRDefault="004F0BA6" w:rsidP="004F0BA6">
      <w:pPr>
        <w:rPr>
          <w:b/>
          <w:sz w:val="28"/>
          <w:szCs w:val="28"/>
        </w:rPr>
      </w:pPr>
    </w:p>
    <w:p w:rsidR="00BF22B2" w:rsidRPr="00BF22B2" w:rsidRDefault="00BF22B2" w:rsidP="00E77422">
      <w:pPr>
        <w:rPr>
          <w:rFonts w:cstheme="minorHAnsi"/>
        </w:rPr>
      </w:pPr>
    </w:p>
    <w:sectPr w:rsidR="00BF22B2" w:rsidRPr="00BF22B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7DE" w:rsidRDefault="00EA17DE" w:rsidP="00807042">
      <w:pPr>
        <w:spacing w:after="0" w:line="240" w:lineRule="auto"/>
      </w:pPr>
      <w:r>
        <w:separator/>
      </w:r>
    </w:p>
  </w:endnote>
  <w:endnote w:type="continuationSeparator" w:id="0">
    <w:p w:rsidR="00EA17DE" w:rsidRDefault="00EA17DE" w:rsidP="00807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715721"/>
      <w:docPartObj>
        <w:docPartGallery w:val="Page Numbers (Bottom of Page)"/>
        <w:docPartUnique/>
      </w:docPartObj>
    </w:sdtPr>
    <w:sdtEndPr/>
    <w:sdtContent>
      <w:p w:rsidR="00807042" w:rsidRDefault="00807042">
        <w:pPr>
          <w:pStyle w:val="Zpat"/>
          <w:jc w:val="center"/>
        </w:pPr>
        <w:r>
          <w:fldChar w:fldCharType="begin"/>
        </w:r>
        <w:r>
          <w:instrText>PAGE   \* MERGEFORMAT</w:instrText>
        </w:r>
        <w:r>
          <w:fldChar w:fldCharType="separate"/>
        </w:r>
        <w:r w:rsidR="00444481">
          <w:rPr>
            <w:noProof/>
          </w:rPr>
          <w:t>2</w:t>
        </w:r>
        <w:r>
          <w:fldChar w:fldCharType="end"/>
        </w:r>
      </w:p>
    </w:sdtContent>
  </w:sdt>
  <w:p w:rsidR="00807042" w:rsidRDefault="0080704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7DE" w:rsidRDefault="00EA17DE" w:rsidP="00807042">
      <w:pPr>
        <w:spacing w:after="0" w:line="240" w:lineRule="auto"/>
      </w:pPr>
      <w:r>
        <w:separator/>
      </w:r>
    </w:p>
  </w:footnote>
  <w:footnote w:type="continuationSeparator" w:id="0">
    <w:p w:rsidR="00EA17DE" w:rsidRDefault="00EA17DE" w:rsidP="00807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43BC"/>
    <w:multiLevelType w:val="hybridMultilevel"/>
    <w:tmpl w:val="A95EF55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33546D1"/>
    <w:multiLevelType w:val="hybridMultilevel"/>
    <w:tmpl w:val="3C12F7F4"/>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BF34B6"/>
    <w:multiLevelType w:val="hybridMultilevel"/>
    <w:tmpl w:val="FA5C43C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0C382F"/>
    <w:multiLevelType w:val="hybridMultilevel"/>
    <w:tmpl w:val="BDE0D8F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F763137"/>
    <w:multiLevelType w:val="hybridMultilevel"/>
    <w:tmpl w:val="3A10E9A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EE66368"/>
    <w:multiLevelType w:val="hybridMultilevel"/>
    <w:tmpl w:val="12EADADC"/>
    <w:lvl w:ilvl="0" w:tplc="04050011">
      <w:start w:val="1"/>
      <w:numFmt w:val="decimal"/>
      <w:lvlText w:val="%1)"/>
      <w:lvlJc w:val="left"/>
      <w:pPr>
        <w:ind w:left="643" w:hanging="360"/>
      </w:pPr>
      <w:rPr>
        <w:rFonts w:hint="default"/>
      </w:rPr>
    </w:lvl>
    <w:lvl w:ilvl="1" w:tplc="04050019" w:tentative="1">
      <w:start w:val="1"/>
      <w:numFmt w:val="lowerLetter"/>
      <w:lvlText w:val="%2."/>
      <w:lvlJc w:val="left"/>
      <w:pPr>
        <w:ind w:left="1363" w:hanging="360"/>
      </w:pPr>
    </w:lvl>
    <w:lvl w:ilvl="2" w:tplc="0405001B" w:tentative="1">
      <w:start w:val="1"/>
      <w:numFmt w:val="lowerRoman"/>
      <w:lvlText w:val="%3."/>
      <w:lvlJc w:val="right"/>
      <w:pPr>
        <w:ind w:left="2083" w:hanging="180"/>
      </w:pPr>
    </w:lvl>
    <w:lvl w:ilvl="3" w:tplc="0405000F" w:tentative="1">
      <w:start w:val="1"/>
      <w:numFmt w:val="decimal"/>
      <w:lvlText w:val="%4."/>
      <w:lvlJc w:val="left"/>
      <w:pPr>
        <w:ind w:left="2803" w:hanging="360"/>
      </w:pPr>
    </w:lvl>
    <w:lvl w:ilvl="4" w:tplc="04050019" w:tentative="1">
      <w:start w:val="1"/>
      <w:numFmt w:val="lowerLetter"/>
      <w:lvlText w:val="%5."/>
      <w:lvlJc w:val="left"/>
      <w:pPr>
        <w:ind w:left="3523" w:hanging="360"/>
      </w:pPr>
    </w:lvl>
    <w:lvl w:ilvl="5" w:tplc="0405001B" w:tentative="1">
      <w:start w:val="1"/>
      <w:numFmt w:val="lowerRoman"/>
      <w:lvlText w:val="%6."/>
      <w:lvlJc w:val="right"/>
      <w:pPr>
        <w:ind w:left="4243" w:hanging="180"/>
      </w:pPr>
    </w:lvl>
    <w:lvl w:ilvl="6" w:tplc="0405000F" w:tentative="1">
      <w:start w:val="1"/>
      <w:numFmt w:val="decimal"/>
      <w:lvlText w:val="%7."/>
      <w:lvlJc w:val="left"/>
      <w:pPr>
        <w:ind w:left="4963" w:hanging="360"/>
      </w:pPr>
    </w:lvl>
    <w:lvl w:ilvl="7" w:tplc="04050019" w:tentative="1">
      <w:start w:val="1"/>
      <w:numFmt w:val="lowerLetter"/>
      <w:lvlText w:val="%8."/>
      <w:lvlJc w:val="left"/>
      <w:pPr>
        <w:ind w:left="5683" w:hanging="360"/>
      </w:pPr>
    </w:lvl>
    <w:lvl w:ilvl="8" w:tplc="0405001B" w:tentative="1">
      <w:start w:val="1"/>
      <w:numFmt w:val="lowerRoman"/>
      <w:lvlText w:val="%9."/>
      <w:lvlJc w:val="right"/>
      <w:pPr>
        <w:ind w:left="6403" w:hanging="180"/>
      </w:pPr>
    </w:lvl>
  </w:abstractNum>
  <w:abstractNum w:abstractNumId="6" w15:restartNumberingAfterBreak="0">
    <w:nsid w:val="343F1026"/>
    <w:multiLevelType w:val="hybridMultilevel"/>
    <w:tmpl w:val="57A85838"/>
    <w:lvl w:ilvl="0" w:tplc="73563FBA">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DCB48EB"/>
    <w:multiLevelType w:val="hybridMultilevel"/>
    <w:tmpl w:val="4AD0A682"/>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131406F"/>
    <w:multiLevelType w:val="hybridMultilevel"/>
    <w:tmpl w:val="9F3E875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4DE42FD"/>
    <w:multiLevelType w:val="hybridMultilevel"/>
    <w:tmpl w:val="07AE08CA"/>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5F9178F"/>
    <w:multiLevelType w:val="hybridMultilevel"/>
    <w:tmpl w:val="62327E0C"/>
    <w:lvl w:ilvl="0" w:tplc="5FCEBD22">
      <w:start w:val="1"/>
      <w:numFmt w:val="decimal"/>
      <w:lvlText w:val="%1)"/>
      <w:lvlJc w:val="left"/>
      <w:pPr>
        <w:ind w:left="720" w:hanging="360"/>
      </w:pPr>
      <w:rPr>
        <w:rFonts w:hint="default"/>
        <w:color w:val="44444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ED0473C"/>
    <w:multiLevelType w:val="hybridMultilevel"/>
    <w:tmpl w:val="5610F58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4B90965"/>
    <w:multiLevelType w:val="hybridMultilevel"/>
    <w:tmpl w:val="9F3E875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2A818CB"/>
    <w:multiLevelType w:val="hybridMultilevel"/>
    <w:tmpl w:val="09C6613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6713BD0"/>
    <w:multiLevelType w:val="hybridMultilevel"/>
    <w:tmpl w:val="8A5A1C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D6507D0"/>
    <w:multiLevelType w:val="hybridMultilevel"/>
    <w:tmpl w:val="1D48AFE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F416F93"/>
    <w:multiLevelType w:val="hybridMultilevel"/>
    <w:tmpl w:val="5E22A7AC"/>
    <w:lvl w:ilvl="0" w:tplc="FC98015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71493B8A"/>
    <w:multiLevelType w:val="hybridMultilevel"/>
    <w:tmpl w:val="71F0871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6CF32AF"/>
    <w:multiLevelType w:val="hybridMultilevel"/>
    <w:tmpl w:val="69B6E1F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E5B3C5D"/>
    <w:multiLevelType w:val="hybridMultilevel"/>
    <w:tmpl w:val="4AD0A682"/>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F2B6E46"/>
    <w:multiLevelType w:val="hybridMultilevel"/>
    <w:tmpl w:val="13A859E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1"/>
  </w:num>
  <w:num w:numId="5">
    <w:abstractNumId w:val="9"/>
  </w:num>
  <w:num w:numId="6">
    <w:abstractNumId w:val="13"/>
  </w:num>
  <w:num w:numId="7">
    <w:abstractNumId w:val="19"/>
  </w:num>
  <w:num w:numId="8">
    <w:abstractNumId w:val="15"/>
  </w:num>
  <w:num w:numId="9">
    <w:abstractNumId w:val="16"/>
  </w:num>
  <w:num w:numId="10">
    <w:abstractNumId w:val="18"/>
  </w:num>
  <w:num w:numId="11">
    <w:abstractNumId w:val="17"/>
  </w:num>
  <w:num w:numId="12">
    <w:abstractNumId w:val="3"/>
  </w:num>
  <w:num w:numId="13">
    <w:abstractNumId w:val="20"/>
  </w:num>
  <w:num w:numId="14">
    <w:abstractNumId w:val="2"/>
  </w:num>
  <w:num w:numId="15">
    <w:abstractNumId w:val="12"/>
  </w:num>
  <w:num w:numId="16">
    <w:abstractNumId w:val="10"/>
  </w:num>
  <w:num w:numId="17">
    <w:abstractNumId w:val="7"/>
  </w:num>
  <w:num w:numId="18">
    <w:abstractNumId w:val="0"/>
  </w:num>
  <w:num w:numId="19">
    <w:abstractNumId w:val="11"/>
  </w:num>
  <w:num w:numId="20">
    <w:abstractNumId w:val="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59E"/>
    <w:rsid w:val="00004574"/>
    <w:rsid w:val="00044BED"/>
    <w:rsid w:val="00054F13"/>
    <w:rsid w:val="000867EF"/>
    <w:rsid w:val="000C05D5"/>
    <w:rsid w:val="001276CB"/>
    <w:rsid w:val="00174887"/>
    <w:rsid w:val="001C2D76"/>
    <w:rsid w:val="002124FF"/>
    <w:rsid w:val="00256536"/>
    <w:rsid w:val="00271685"/>
    <w:rsid w:val="00282975"/>
    <w:rsid w:val="00290AFE"/>
    <w:rsid w:val="0029487D"/>
    <w:rsid w:val="002B7617"/>
    <w:rsid w:val="002C3CBD"/>
    <w:rsid w:val="002D04FF"/>
    <w:rsid w:val="002E6D20"/>
    <w:rsid w:val="002F00E7"/>
    <w:rsid w:val="00336F07"/>
    <w:rsid w:val="00364971"/>
    <w:rsid w:val="00374236"/>
    <w:rsid w:val="00395384"/>
    <w:rsid w:val="00444481"/>
    <w:rsid w:val="004759C4"/>
    <w:rsid w:val="0049327B"/>
    <w:rsid w:val="004B1F19"/>
    <w:rsid w:val="004D4680"/>
    <w:rsid w:val="004D4E26"/>
    <w:rsid w:val="004E4B02"/>
    <w:rsid w:val="004F0BA6"/>
    <w:rsid w:val="004F335E"/>
    <w:rsid w:val="00507154"/>
    <w:rsid w:val="00520BAF"/>
    <w:rsid w:val="00564E0F"/>
    <w:rsid w:val="005A7904"/>
    <w:rsid w:val="005E027E"/>
    <w:rsid w:val="005E766F"/>
    <w:rsid w:val="00675813"/>
    <w:rsid w:val="006843FF"/>
    <w:rsid w:val="007012E3"/>
    <w:rsid w:val="007025F5"/>
    <w:rsid w:val="007658B5"/>
    <w:rsid w:val="007E69C3"/>
    <w:rsid w:val="00807042"/>
    <w:rsid w:val="00820746"/>
    <w:rsid w:val="008B07F4"/>
    <w:rsid w:val="008D6790"/>
    <w:rsid w:val="00920B47"/>
    <w:rsid w:val="00967998"/>
    <w:rsid w:val="009A557D"/>
    <w:rsid w:val="009E37BE"/>
    <w:rsid w:val="00A2659E"/>
    <w:rsid w:val="00A35B91"/>
    <w:rsid w:val="00A41273"/>
    <w:rsid w:val="00AB4ACA"/>
    <w:rsid w:val="00AD2F31"/>
    <w:rsid w:val="00B1625F"/>
    <w:rsid w:val="00B43981"/>
    <w:rsid w:val="00B55AD7"/>
    <w:rsid w:val="00B87CEF"/>
    <w:rsid w:val="00BD2B48"/>
    <w:rsid w:val="00BE2EBF"/>
    <w:rsid w:val="00BF22B2"/>
    <w:rsid w:val="00C66BC7"/>
    <w:rsid w:val="00C8688F"/>
    <w:rsid w:val="00CB612F"/>
    <w:rsid w:val="00CC075A"/>
    <w:rsid w:val="00D52323"/>
    <w:rsid w:val="00D96827"/>
    <w:rsid w:val="00DB6C2C"/>
    <w:rsid w:val="00DB7C3C"/>
    <w:rsid w:val="00DC0734"/>
    <w:rsid w:val="00E10EB1"/>
    <w:rsid w:val="00E34432"/>
    <w:rsid w:val="00E413EE"/>
    <w:rsid w:val="00E77422"/>
    <w:rsid w:val="00EA17DE"/>
    <w:rsid w:val="00EC0742"/>
    <w:rsid w:val="00EE1B1B"/>
    <w:rsid w:val="00EE46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21E1A-C1F6-4B7D-936C-F4300ABC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B1F19"/>
    <w:pPr>
      <w:ind w:left="720"/>
      <w:contextualSpacing/>
    </w:pPr>
  </w:style>
  <w:style w:type="paragraph" w:customStyle="1" w:styleId="p2">
    <w:name w:val="p2"/>
    <w:basedOn w:val="Normln"/>
    <w:rsid w:val="004D4E2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upd">
    <w:name w:val="upd"/>
    <w:basedOn w:val="Standardnpsmoodstavce"/>
    <w:rsid w:val="004D4E26"/>
  </w:style>
  <w:style w:type="paragraph" w:styleId="Normlnweb">
    <w:name w:val="Normal (Web)"/>
    <w:basedOn w:val="Normln"/>
    <w:uiPriority w:val="99"/>
    <w:semiHidden/>
    <w:unhideWhenUsed/>
    <w:rsid w:val="0029487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29487D"/>
    <w:rPr>
      <w:color w:val="0000FF"/>
      <w:u w:val="single"/>
    </w:rPr>
  </w:style>
  <w:style w:type="character" w:customStyle="1" w:styleId="highlight">
    <w:name w:val="highlight"/>
    <w:basedOn w:val="Standardnpsmoodstavce"/>
    <w:rsid w:val="002F00E7"/>
  </w:style>
  <w:style w:type="paragraph" w:customStyle="1" w:styleId="empty-p">
    <w:name w:val="empty-p"/>
    <w:basedOn w:val="Normln"/>
    <w:rsid w:val="002F00E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80704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07042"/>
  </w:style>
  <w:style w:type="paragraph" w:styleId="Zpat">
    <w:name w:val="footer"/>
    <w:basedOn w:val="Normln"/>
    <w:link w:val="ZpatChar"/>
    <w:uiPriority w:val="99"/>
    <w:unhideWhenUsed/>
    <w:rsid w:val="00807042"/>
    <w:pPr>
      <w:tabs>
        <w:tab w:val="center" w:pos="4536"/>
        <w:tab w:val="right" w:pos="9072"/>
      </w:tabs>
      <w:spacing w:after="0" w:line="240" w:lineRule="auto"/>
    </w:pPr>
  </w:style>
  <w:style w:type="character" w:customStyle="1" w:styleId="ZpatChar">
    <w:name w:val="Zápatí Char"/>
    <w:basedOn w:val="Standardnpsmoodstavce"/>
    <w:link w:val="Zpat"/>
    <w:uiPriority w:val="99"/>
    <w:rsid w:val="00807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1405">
      <w:bodyDiv w:val="1"/>
      <w:marLeft w:val="0"/>
      <w:marRight w:val="0"/>
      <w:marTop w:val="0"/>
      <w:marBottom w:val="0"/>
      <w:divBdr>
        <w:top w:val="none" w:sz="0" w:space="0" w:color="auto"/>
        <w:left w:val="none" w:sz="0" w:space="0" w:color="auto"/>
        <w:bottom w:val="none" w:sz="0" w:space="0" w:color="auto"/>
        <w:right w:val="none" w:sz="0" w:space="0" w:color="auto"/>
      </w:divBdr>
      <w:divsChild>
        <w:div w:id="1910846341">
          <w:marLeft w:val="0"/>
          <w:marRight w:val="0"/>
          <w:marTop w:val="0"/>
          <w:marBottom w:val="0"/>
          <w:divBdr>
            <w:top w:val="none" w:sz="0" w:space="0" w:color="auto"/>
            <w:left w:val="none" w:sz="0" w:space="0" w:color="auto"/>
            <w:bottom w:val="none" w:sz="0" w:space="0" w:color="auto"/>
            <w:right w:val="none" w:sz="0" w:space="0" w:color="auto"/>
          </w:divBdr>
          <w:divsChild>
            <w:div w:id="109932795">
              <w:marLeft w:val="0"/>
              <w:marRight w:val="0"/>
              <w:marTop w:val="0"/>
              <w:marBottom w:val="0"/>
              <w:divBdr>
                <w:top w:val="none" w:sz="0" w:space="0" w:color="auto"/>
                <w:left w:val="none" w:sz="0" w:space="0" w:color="auto"/>
                <w:bottom w:val="none" w:sz="0" w:space="0" w:color="auto"/>
                <w:right w:val="none" w:sz="0" w:space="0" w:color="auto"/>
              </w:divBdr>
              <w:divsChild>
                <w:div w:id="194469791">
                  <w:marLeft w:val="0"/>
                  <w:marRight w:val="0"/>
                  <w:marTop w:val="0"/>
                  <w:marBottom w:val="0"/>
                  <w:divBdr>
                    <w:top w:val="none" w:sz="0" w:space="0" w:color="auto"/>
                    <w:left w:val="none" w:sz="0" w:space="0" w:color="auto"/>
                    <w:bottom w:val="none" w:sz="0" w:space="0" w:color="auto"/>
                    <w:right w:val="none" w:sz="0" w:space="0" w:color="auto"/>
                  </w:divBdr>
                  <w:divsChild>
                    <w:div w:id="2080588628">
                      <w:marLeft w:val="0"/>
                      <w:marRight w:val="0"/>
                      <w:marTop w:val="0"/>
                      <w:marBottom w:val="0"/>
                      <w:divBdr>
                        <w:top w:val="none" w:sz="0" w:space="0" w:color="auto"/>
                        <w:left w:val="none" w:sz="0" w:space="0" w:color="auto"/>
                        <w:bottom w:val="none" w:sz="0" w:space="0" w:color="auto"/>
                        <w:right w:val="none" w:sz="0" w:space="0" w:color="auto"/>
                      </w:divBdr>
                      <w:divsChild>
                        <w:div w:id="611860638">
                          <w:marLeft w:val="0"/>
                          <w:marRight w:val="0"/>
                          <w:marTop w:val="0"/>
                          <w:marBottom w:val="0"/>
                          <w:divBdr>
                            <w:top w:val="none" w:sz="0" w:space="0" w:color="auto"/>
                            <w:left w:val="none" w:sz="0" w:space="0" w:color="auto"/>
                            <w:bottom w:val="none" w:sz="0" w:space="0" w:color="auto"/>
                            <w:right w:val="none" w:sz="0" w:space="0" w:color="auto"/>
                          </w:divBdr>
                          <w:divsChild>
                            <w:div w:id="1151950118">
                              <w:marLeft w:val="0"/>
                              <w:marRight w:val="0"/>
                              <w:marTop w:val="0"/>
                              <w:marBottom w:val="0"/>
                              <w:divBdr>
                                <w:top w:val="none" w:sz="0" w:space="0" w:color="auto"/>
                                <w:left w:val="none" w:sz="0" w:space="0" w:color="auto"/>
                                <w:bottom w:val="none" w:sz="0" w:space="0" w:color="auto"/>
                                <w:right w:val="none" w:sz="0" w:space="0" w:color="auto"/>
                              </w:divBdr>
                              <w:divsChild>
                                <w:div w:id="575169521">
                                  <w:marLeft w:val="0"/>
                                  <w:marRight w:val="0"/>
                                  <w:marTop w:val="0"/>
                                  <w:marBottom w:val="0"/>
                                  <w:divBdr>
                                    <w:top w:val="none" w:sz="0" w:space="0" w:color="auto"/>
                                    <w:left w:val="none" w:sz="0" w:space="0" w:color="auto"/>
                                    <w:bottom w:val="none" w:sz="0" w:space="0" w:color="auto"/>
                                    <w:right w:val="none" w:sz="0" w:space="0" w:color="auto"/>
                                  </w:divBdr>
                                  <w:divsChild>
                                    <w:div w:id="2096710458">
                                      <w:marLeft w:val="0"/>
                                      <w:marRight w:val="0"/>
                                      <w:marTop w:val="0"/>
                                      <w:marBottom w:val="0"/>
                                      <w:divBdr>
                                        <w:top w:val="none" w:sz="0" w:space="0" w:color="auto"/>
                                        <w:left w:val="none" w:sz="0" w:space="0" w:color="auto"/>
                                        <w:bottom w:val="none" w:sz="0" w:space="0" w:color="auto"/>
                                        <w:right w:val="none" w:sz="0" w:space="0" w:color="auto"/>
                                      </w:divBdr>
                                      <w:divsChild>
                                        <w:div w:id="759528797">
                                          <w:marLeft w:val="0"/>
                                          <w:marRight w:val="0"/>
                                          <w:marTop w:val="0"/>
                                          <w:marBottom w:val="0"/>
                                          <w:divBdr>
                                            <w:top w:val="none" w:sz="0" w:space="0" w:color="auto"/>
                                            <w:left w:val="none" w:sz="0" w:space="0" w:color="auto"/>
                                            <w:bottom w:val="none" w:sz="0" w:space="0" w:color="auto"/>
                                            <w:right w:val="none" w:sz="0" w:space="0" w:color="auto"/>
                                          </w:divBdr>
                                          <w:divsChild>
                                            <w:div w:id="145559684">
                                              <w:marLeft w:val="0"/>
                                              <w:marRight w:val="0"/>
                                              <w:marTop w:val="0"/>
                                              <w:marBottom w:val="0"/>
                                              <w:divBdr>
                                                <w:top w:val="none" w:sz="0" w:space="0" w:color="auto"/>
                                                <w:left w:val="none" w:sz="0" w:space="0" w:color="auto"/>
                                                <w:bottom w:val="none" w:sz="0" w:space="0" w:color="auto"/>
                                                <w:right w:val="none" w:sz="0" w:space="0" w:color="auto"/>
                                              </w:divBdr>
                                              <w:divsChild>
                                                <w:div w:id="2107801272">
                                                  <w:marLeft w:val="0"/>
                                                  <w:marRight w:val="0"/>
                                                  <w:marTop w:val="0"/>
                                                  <w:marBottom w:val="0"/>
                                                  <w:divBdr>
                                                    <w:top w:val="none" w:sz="0" w:space="0" w:color="auto"/>
                                                    <w:left w:val="none" w:sz="0" w:space="0" w:color="auto"/>
                                                    <w:bottom w:val="none" w:sz="0" w:space="0" w:color="auto"/>
                                                    <w:right w:val="none" w:sz="0" w:space="0" w:color="auto"/>
                                                  </w:divBdr>
                                                  <w:divsChild>
                                                    <w:div w:id="1402170302">
                                                      <w:marLeft w:val="0"/>
                                                      <w:marRight w:val="0"/>
                                                      <w:marTop w:val="0"/>
                                                      <w:marBottom w:val="0"/>
                                                      <w:divBdr>
                                                        <w:top w:val="none" w:sz="0" w:space="0" w:color="auto"/>
                                                        <w:left w:val="none" w:sz="0" w:space="0" w:color="auto"/>
                                                        <w:bottom w:val="none" w:sz="0" w:space="0" w:color="auto"/>
                                                        <w:right w:val="none" w:sz="0" w:space="0" w:color="auto"/>
                                                      </w:divBdr>
                                                      <w:divsChild>
                                                        <w:div w:id="1297876214">
                                                          <w:marLeft w:val="0"/>
                                                          <w:marRight w:val="0"/>
                                                          <w:marTop w:val="0"/>
                                                          <w:marBottom w:val="0"/>
                                                          <w:divBdr>
                                                            <w:top w:val="none" w:sz="0" w:space="0" w:color="auto"/>
                                                            <w:left w:val="none" w:sz="0" w:space="0" w:color="auto"/>
                                                            <w:bottom w:val="none" w:sz="0" w:space="0" w:color="auto"/>
                                                            <w:right w:val="none" w:sz="0" w:space="0" w:color="auto"/>
                                                          </w:divBdr>
                                                          <w:divsChild>
                                                            <w:div w:id="1354766516">
                                                              <w:marLeft w:val="0"/>
                                                              <w:marRight w:val="0"/>
                                                              <w:marTop w:val="0"/>
                                                              <w:marBottom w:val="0"/>
                                                              <w:divBdr>
                                                                <w:top w:val="none" w:sz="0" w:space="0" w:color="auto"/>
                                                                <w:left w:val="none" w:sz="0" w:space="0" w:color="auto"/>
                                                                <w:bottom w:val="none" w:sz="0" w:space="0" w:color="auto"/>
                                                                <w:right w:val="none" w:sz="0" w:space="0" w:color="auto"/>
                                                              </w:divBdr>
                                                              <w:divsChild>
                                                                <w:div w:id="18149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67590177">
      <w:bodyDiv w:val="1"/>
      <w:marLeft w:val="0"/>
      <w:marRight w:val="0"/>
      <w:marTop w:val="0"/>
      <w:marBottom w:val="0"/>
      <w:divBdr>
        <w:top w:val="none" w:sz="0" w:space="0" w:color="auto"/>
        <w:left w:val="none" w:sz="0" w:space="0" w:color="auto"/>
        <w:bottom w:val="none" w:sz="0" w:space="0" w:color="auto"/>
        <w:right w:val="none" w:sz="0" w:space="0" w:color="auto"/>
      </w:divBdr>
      <w:divsChild>
        <w:div w:id="1824619676">
          <w:marLeft w:val="0"/>
          <w:marRight w:val="0"/>
          <w:marTop w:val="0"/>
          <w:marBottom w:val="0"/>
          <w:divBdr>
            <w:top w:val="none" w:sz="0" w:space="0" w:color="auto"/>
            <w:left w:val="none" w:sz="0" w:space="0" w:color="auto"/>
            <w:bottom w:val="none" w:sz="0" w:space="0" w:color="auto"/>
            <w:right w:val="none" w:sz="0" w:space="0" w:color="auto"/>
          </w:divBdr>
          <w:divsChild>
            <w:div w:id="1956597778">
              <w:marLeft w:val="0"/>
              <w:marRight w:val="0"/>
              <w:marTop w:val="0"/>
              <w:marBottom w:val="0"/>
              <w:divBdr>
                <w:top w:val="none" w:sz="0" w:space="0" w:color="auto"/>
                <w:left w:val="none" w:sz="0" w:space="0" w:color="auto"/>
                <w:bottom w:val="none" w:sz="0" w:space="0" w:color="auto"/>
                <w:right w:val="none" w:sz="0" w:space="0" w:color="auto"/>
              </w:divBdr>
              <w:divsChild>
                <w:div w:id="1513032528">
                  <w:marLeft w:val="0"/>
                  <w:marRight w:val="0"/>
                  <w:marTop w:val="0"/>
                  <w:marBottom w:val="0"/>
                  <w:divBdr>
                    <w:top w:val="none" w:sz="0" w:space="0" w:color="auto"/>
                    <w:left w:val="none" w:sz="0" w:space="0" w:color="auto"/>
                    <w:bottom w:val="none" w:sz="0" w:space="0" w:color="auto"/>
                    <w:right w:val="none" w:sz="0" w:space="0" w:color="auto"/>
                  </w:divBdr>
                  <w:divsChild>
                    <w:div w:id="1712068285">
                      <w:marLeft w:val="0"/>
                      <w:marRight w:val="0"/>
                      <w:marTop w:val="0"/>
                      <w:marBottom w:val="0"/>
                      <w:divBdr>
                        <w:top w:val="none" w:sz="0" w:space="0" w:color="auto"/>
                        <w:left w:val="none" w:sz="0" w:space="0" w:color="auto"/>
                        <w:bottom w:val="none" w:sz="0" w:space="0" w:color="auto"/>
                        <w:right w:val="none" w:sz="0" w:space="0" w:color="auto"/>
                      </w:divBdr>
                      <w:divsChild>
                        <w:div w:id="1820414037">
                          <w:marLeft w:val="0"/>
                          <w:marRight w:val="0"/>
                          <w:marTop w:val="0"/>
                          <w:marBottom w:val="0"/>
                          <w:divBdr>
                            <w:top w:val="none" w:sz="0" w:space="0" w:color="auto"/>
                            <w:left w:val="none" w:sz="0" w:space="0" w:color="auto"/>
                            <w:bottom w:val="none" w:sz="0" w:space="0" w:color="auto"/>
                            <w:right w:val="none" w:sz="0" w:space="0" w:color="auto"/>
                          </w:divBdr>
                          <w:divsChild>
                            <w:div w:id="1656883767">
                              <w:marLeft w:val="0"/>
                              <w:marRight w:val="0"/>
                              <w:marTop w:val="0"/>
                              <w:marBottom w:val="0"/>
                              <w:divBdr>
                                <w:top w:val="none" w:sz="0" w:space="0" w:color="auto"/>
                                <w:left w:val="none" w:sz="0" w:space="0" w:color="auto"/>
                                <w:bottom w:val="none" w:sz="0" w:space="0" w:color="auto"/>
                                <w:right w:val="none" w:sz="0" w:space="0" w:color="auto"/>
                              </w:divBdr>
                              <w:divsChild>
                                <w:div w:id="260913098">
                                  <w:marLeft w:val="0"/>
                                  <w:marRight w:val="0"/>
                                  <w:marTop w:val="0"/>
                                  <w:marBottom w:val="0"/>
                                  <w:divBdr>
                                    <w:top w:val="none" w:sz="0" w:space="0" w:color="auto"/>
                                    <w:left w:val="none" w:sz="0" w:space="0" w:color="auto"/>
                                    <w:bottom w:val="none" w:sz="0" w:space="0" w:color="auto"/>
                                    <w:right w:val="none" w:sz="0" w:space="0" w:color="auto"/>
                                  </w:divBdr>
                                  <w:divsChild>
                                    <w:div w:id="1128087820">
                                      <w:marLeft w:val="0"/>
                                      <w:marRight w:val="0"/>
                                      <w:marTop w:val="0"/>
                                      <w:marBottom w:val="0"/>
                                      <w:divBdr>
                                        <w:top w:val="none" w:sz="0" w:space="0" w:color="auto"/>
                                        <w:left w:val="none" w:sz="0" w:space="0" w:color="auto"/>
                                        <w:bottom w:val="none" w:sz="0" w:space="0" w:color="auto"/>
                                        <w:right w:val="none" w:sz="0" w:space="0" w:color="auto"/>
                                      </w:divBdr>
                                      <w:divsChild>
                                        <w:div w:id="222448190">
                                          <w:marLeft w:val="0"/>
                                          <w:marRight w:val="0"/>
                                          <w:marTop w:val="0"/>
                                          <w:marBottom w:val="0"/>
                                          <w:divBdr>
                                            <w:top w:val="none" w:sz="0" w:space="0" w:color="auto"/>
                                            <w:left w:val="none" w:sz="0" w:space="0" w:color="auto"/>
                                            <w:bottom w:val="none" w:sz="0" w:space="0" w:color="auto"/>
                                            <w:right w:val="none" w:sz="0" w:space="0" w:color="auto"/>
                                          </w:divBdr>
                                          <w:divsChild>
                                            <w:div w:id="1454714540">
                                              <w:marLeft w:val="0"/>
                                              <w:marRight w:val="0"/>
                                              <w:marTop w:val="0"/>
                                              <w:marBottom w:val="0"/>
                                              <w:divBdr>
                                                <w:top w:val="none" w:sz="0" w:space="0" w:color="auto"/>
                                                <w:left w:val="none" w:sz="0" w:space="0" w:color="auto"/>
                                                <w:bottom w:val="none" w:sz="0" w:space="0" w:color="auto"/>
                                                <w:right w:val="none" w:sz="0" w:space="0" w:color="auto"/>
                                              </w:divBdr>
                                              <w:divsChild>
                                                <w:div w:id="632835863">
                                                  <w:marLeft w:val="0"/>
                                                  <w:marRight w:val="0"/>
                                                  <w:marTop w:val="0"/>
                                                  <w:marBottom w:val="0"/>
                                                  <w:divBdr>
                                                    <w:top w:val="none" w:sz="0" w:space="0" w:color="auto"/>
                                                    <w:left w:val="none" w:sz="0" w:space="0" w:color="auto"/>
                                                    <w:bottom w:val="none" w:sz="0" w:space="0" w:color="auto"/>
                                                    <w:right w:val="none" w:sz="0" w:space="0" w:color="auto"/>
                                                  </w:divBdr>
                                                  <w:divsChild>
                                                    <w:div w:id="2023437206">
                                                      <w:marLeft w:val="0"/>
                                                      <w:marRight w:val="0"/>
                                                      <w:marTop w:val="0"/>
                                                      <w:marBottom w:val="0"/>
                                                      <w:divBdr>
                                                        <w:top w:val="none" w:sz="0" w:space="0" w:color="auto"/>
                                                        <w:left w:val="none" w:sz="0" w:space="0" w:color="auto"/>
                                                        <w:bottom w:val="none" w:sz="0" w:space="0" w:color="auto"/>
                                                        <w:right w:val="none" w:sz="0" w:space="0" w:color="auto"/>
                                                      </w:divBdr>
                                                      <w:divsChild>
                                                        <w:div w:id="777525840">
                                                          <w:marLeft w:val="0"/>
                                                          <w:marRight w:val="0"/>
                                                          <w:marTop w:val="0"/>
                                                          <w:marBottom w:val="0"/>
                                                          <w:divBdr>
                                                            <w:top w:val="none" w:sz="0" w:space="0" w:color="auto"/>
                                                            <w:left w:val="none" w:sz="0" w:space="0" w:color="auto"/>
                                                            <w:bottom w:val="none" w:sz="0" w:space="0" w:color="auto"/>
                                                            <w:right w:val="none" w:sz="0" w:space="0" w:color="auto"/>
                                                          </w:divBdr>
                                                          <w:divsChild>
                                                            <w:div w:id="774860896">
                                                              <w:marLeft w:val="0"/>
                                                              <w:marRight w:val="0"/>
                                                              <w:marTop w:val="0"/>
                                                              <w:marBottom w:val="0"/>
                                                              <w:divBdr>
                                                                <w:top w:val="none" w:sz="0" w:space="0" w:color="auto"/>
                                                                <w:left w:val="none" w:sz="0" w:space="0" w:color="auto"/>
                                                                <w:bottom w:val="none" w:sz="0" w:space="0" w:color="auto"/>
                                                                <w:right w:val="none" w:sz="0" w:space="0" w:color="auto"/>
                                                              </w:divBdr>
                                                              <w:divsChild>
                                                                <w:div w:id="11383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6931965">
      <w:bodyDiv w:val="1"/>
      <w:marLeft w:val="0"/>
      <w:marRight w:val="0"/>
      <w:marTop w:val="0"/>
      <w:marBottom w:val="0"/>
      <w:divBdr>
        <w:top w:val="none" w:sz="0" w:space="0" w:color="auto"/>
        <w:left w:val="none" w:sz="0" w:space="0" w:color="auto"/>
        <w:bottom w:val="none" w:sz="0" w:space="0" w:color="auto"/>
        <w:right w:val="none" w:sz="0" w:space="0" w:color="auto"/>
      </w:divBdr>
    </w:div>
    <w:div w:id="432748013">
      <w:bodyDiv w:val="1"/>
      <w:marLeft w:val="0"/>
      <w:marRight w:val="0"/>
      <w:marTop w:val="0"/>
      <w:marBottom w:val="0"/>
      <w:divBdr>
        <w:top w:val="none" w:sz="0" w:space="0" w:color="auto"/>
        <w:left w:val="none" w:sz="0" w:space="0" w:color="auto"/>
        <w:bottom w:val="none" w:sz="0" w:space="0" w:color="auto"/>
        <w:right w:val="none" w:sz="0" w:space="0" w:color="auto"/>
      </w:divBdr>
      <w:divsChild>
        <w:div w:id="1399085510">
          <w:marLeft w:val="0"/>
          <w:marRight w:val="0"/>
          <w:marTop w:val="0"/>
          <w:marBottom w:val="0"/>
          <w:divBdr>
            <w:top w:val="none" w:sz="0" w:space="0" w:color="auto"/>
            <w:left w:val="none" w:sz="0" w:space="0" w:color="auto"/>
            <w:bottom w:val="none" w:sz="0" w:space="0" w:color="auto"/>
            <w:right w:val="none" w:sz="0" w:space="0" w:color="auto"/>
          </w:divBdr>
          <w:divsChild>
            <w:div w:id="6828755">
              <w:marLeft w:val="0"/>
              <w:marRight w:val="0"/>
              <w:marTop w:val="0"/>
              <w:marBottom w:val="0"/>
              <w:divBdr>
                <w:top w:val="none" w:sz="0" w:space="0" w:color="auto"/>
                <w:left w:val="none" w:sz="0" w:space="0" w:color="auto"/>
                <w:bottom w:val="none" w:sz="0" w:space="0" w:color="auto"/>
                <w:right w:val="none" w:sz="0" w:space="0" w:color="auto"/>
              </w:divBdr>
              <w:divsChild>
                <w:div w:id="2129354065">
                  <w:marLeft w:val="0"/>
                  <w:marRight w:val="0"/>
                  <w:marTop w:val="0"/>
                  <w:marBottom w:val="0"/>
                  <w:divBdr>
                    <w:top w:val="none" w:sz="0" w:space="0" w:color="auto"/>
                    <w:left w:val="none" w:sz="0" w:space="0" w:color="auto"/>
                    <w:bottom w:val="none" w:sz="0" w:space="0" w:color="auto"/>
                    <w:right w:val="none" w:sz="0" w:space="0" w:color="auto"/>
                  </w:divBdr>
                  <w:divsChild>
                    <w:div w:id="1598367957">
                      <w:marLeft w:val="0"/>
                      <w:marRight w:val="0"/>
                      <w:marTop w:val="0"/>
                      <w:marBottom w:val="0"/>
                      <w:divBdr>
                        <w:top w:val="none" w:sz="0" w:space="0" w:color="auto"/>
                        <w:left w:val="none" w:sz="0" w:space="0" w:color="auto"/>
                        <w:bottom w:val="none" w:sz="0" w:space="0" w:color="auto"/>
                        <w:right w:val="none" w:sz="0" w:space="0" w:color="auto"/>
                      </w:divBdr>
                      <w:divsChild>
                        <w:div w:id="21826283">
                          <w:marLeft w:val="0"/>
                          <w:marRight w:val="0"/>
                          <w:marTop w:val="0"/>
                          <w:marBottom w:val="0"/>
                          <w:divBdr>
                            <w:top w:val="none" w:sz="0" w:space="0" w:color="auto"/>
                            <w:left w:val="none" w:sz="0" w:space="0" w:color="auto"/>
                            <w:bottom w:val="none" w:sz="0" w:space="0" w:color="auto"/>
                            <w:right w:val="none" w:sz="0" w:space="0" w:color="auto"/>
                          </w:divBdr>
                          <w:divsChild>
                            <w:div w:id="178197525">
                              <w:marLeft w:val="0"/>
                              <w:marRight w:val="0"/>
                              <w:marTop w:val="0"/>
                              <w:marBottom w:val="0"/>
                              <w:divBdr>
                                <w:top w:val="none" w:sz="0" w:space="0" w:color="auto"/>
                                <w:left w:val="none" w:sz="0" w:space="0" w:color="auto"/>
                                <w:bottom w:val="none" w:sz="0" w:space="0" w:color="auto"/>
                                <w:right w:val="none" w:sz="0" w:space="0" w:color="auto"/>
                              </w:divBdr>
                              <w:divsChild>
                                <w:div w:id="715742735">
                                  <w:marLeft w:val="0"/>
                                  <w:marRight w:val="0"/>
                                  <w:marTop w:val="0"/>
                                  <w:marBottom w:val="0"/>
                                  <w:divBdr>
                                    <w:top w:val="none" w:sz="0" w:space="0" w:color="auto"/>
                                    <w:left w:val="none" w:sz="0" w:space="0" w:color="auto"/>
                                    <w:bottom w:val="none" w:sz="0" w:space="0" w:color="auto"/>
                                    <w:right w:val="none" w:sz="0" w:space="0" w:color="auto"/>
                                  </w:divBdr>
                                  <w:divsChild>
                                    <w:div w:id="835270744">
                                      <w:marLeft w:val="0"/>
                                      <w:marRight w:val="0"/>
                                      <w:marTop w:val="0"/>
                                      <w:marBottom w:val="0"/>
                                      <w:divBdr>
                                        <w:top w:val="none" w:sz="0" w:space="0" w:color="auto"/>
                                        <w:left w:val="none" w:sz="0" w:space="0" w:color="auto"/>
                                        <w:bottom w:val="none" w:sz="0" w:space="0" w:color="auto"/>
                                        <w:right w:val="none" w:sz="0" w:space="0" w:color="auto"/>
                                      </w:divBdr>
                                      <w:divsChild>
                                        <w:div w:id="272127510">
                                          <w:marLeft w:val="0"/>
                                          <w:marRight w:val="0"/>
                                          <w:marTop w:val="0"/>
                                          <w:marBottom w:val="0"/>
                                          <w:divBdr>
                                            <w:top w:val="none" w:sz="0" w:space="0" w:color="auto"/>
                                            <w:left w:val="none" w:sz="0" w:space="0" w:color="auto"/>
                                            <w:bottom w:val="none" w:sz="0" w:space="0" w:color="auto"/>
                                            <w:right w:val="none" w:sz="0" w:space="0" w:color="auto"/>
                                          </w:divBdr>
                                          <w:divsChild>
                                            <w:div w:id="1771126075">
                                              <w:marLeft w:val="0"/>
                                              <w:marRight w:val="0"/>
                                              <w:marTop w:val="0"/>
                                              <w:marBottom w:val="0"/>
                                              <w:divBdr>
                                                <w:top w:val="none" w:sz="0" w:space="0" w:color="auto"/>
                                                <w:left w:val="none" w:sz="0" w:space="0" w:color="auto"/>
                                                <w:bottom w:val="none" w:sz="0" w:space="0" w:color="auto"/>
                                                <w:right w:val="none" w:sz="0" w:space="0" w:color="auto"/>
                                              </w:divBdr>
                                              <w:divsChild>
                                                <w:div w:id="1849635883">
                                                  <w:marLeft w:val="0"/>
                                                  <w:marRight w:val="0"/>
                                                  <w:marTop w:val="0"/>
                                                  <w:marBottom w:val="0"/>
                                                  <w:divBdr>
                                                    <w:top w:val="none" w:sz="0" w:space="0" w:color="auto"/>
                                                    <w:left w:val="none" w:sz="0" w:space="0" w:color="auto"/>
                                                    <w:bottom w:val="none" w:sz="0" w:space="0" w:color="auto"/>
                                                    <w:right w:val="none" w:sz="0" w:space="0" w:color="auto"/>
                                                  </w:divBdr>
                                                  <w:divsChild>
                                                    <w:div w:id="177393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5439168">
      <w:bodyDiv w:val="1"/>
      <w:marLeft w:val="0"/>
      <w:marRight w:val="0"/>
      <w:marTop w:val="0"/>
      <w:marBottom w:val="0"/>
      <w:divBdr>
        <w:top w:val="none" w:sz="0" w:space="0" w:color="auto"/>
        <w:left w:val="none" w:sz="0" w:space="0" w:color="auto"/>
        <w:bottom w:val="none" w:sz="0" w:space="0" w:color="auto"/>
        <w:right w:val="none" w:sz="0" w:space="0" w:color="auto"/>
      </w:divBdr>
      <w:divsChild>
        <w:div w:id="937058512">
          <w:marLeft w:val="0"/>
          <w:marRight w:val="0"/>
          <w:marTop w:val="0"/>
          <w:marBottom w:val="0"/>
          <w:divBdr>
            <w:top w:val="none" w:sz="0" w:space="0" w:color="auto"/>
            <w:left w:val="none" w:sz="0" w:space="0" w:color="auto"/>
            <w:bottom w:val="none" w:sz="0" w:space="0" w:color="auto"/>
            <w:right w:val="none" w:sz="0" w:space="0" w:color="auto"/>
          </w:divBdr>
          <w:divsChild>
            <w:div w:id="2065710806">
              <w:marLeft w:val="0"/>
              <w:marRight w:val="0"/>
              <w:marTop w:val="0"/>
              <w:marBottom w:val="0"/>
              <w:divBdr>
                <w:top w:val="none" w:sz="0" w:space="0" w:color="auto"/>
                <w:left w:val="none" w:sz="0" w:space="0" w:color="auto"/>
                <w:bottom w:val="none" w:sz="0" w:space="0" w:color="auto"/>
                <w:right w:val="none" w:sz="0" w:space="0" w:color="auto"/>
              </w:divBdr>
              <w:divsChild>
                <w:div w:id="1059863246">
                  <w:marLeft w:val="0"/>
                  <w:marRight w:val="0"/>
                  <w:marTop w:val="0"/>
                  <w:marBottom w:val="0"/>
                  <w:divBdr>
                    <w:top w:val="none" w:sz="0" w:space="0" w:color="auto"/>
                    <w:left w:val="none" w:sz="0" w:space="0" w:color="auto"/>
                    <w:bottom w:val="none" w:sz="0" w:space="0" w:color="auto"/>
                    <w:right w:val="none" w:sz="0" w:space="0" w:color="auto"/>
                  </w:divBdr>
                  <w:divsChild>
                    <w:div w:id="1459256320">
                      <w:marLeft w:val="0"/>
                      <w:marRight w:val="0"/>
                      <w:marTop w:val="0"/>
                      <w:marBottom w:val="0"/>
                      <w:divBdr>
                        <w:top w:val="none" w:sz="0" w:space="0" w:color="auto"/>
                        <w:left w:val="none" w:sz="0" w:space="0" w:color="auto"/>
                        <w:bottom w:val="none" w:sz="0" w:space="0" w:color="auto"/>
                        <w:right w:val="none" w:sz="0" w:space="0" w:color="auto"/>
                      </w:divBdr>
                      <w:divsChild>
                        <w:div w:id="176384763">
                          <w:marLeft w:val="0"/>
                          <w:marRight w:val="0"/>
                          <w:marTop w:val="0"/>
                          <w:marBottom w:val="0"/>
                          <w:divBdr>
                            <w:top w:val="none" w:sz="0" w:space="0" w:color="auto"/>
                            <w:left w:val="none" w:sz="0" w:space="0" w:color="auto"/>
                            <w:bottom w:val="none" w:sz="0" w:space="0" w:color="auto"/>
                            <w:right w:val="none" w:sz="0" w:space="0" w:color="auto"/>
                          </w:divBdr>
                          <w:divsChild>
                            <w:div w:id="1235703224">
                              <w:marLeft w:val="0"/>
                              <w:marRight w:val="0"/>
                              <w:marTop w:val="0"/>
                              <w:marBottom w:val="0"/>
                              <w:divBdr>
                                <w:top w:val="none" w:sz="0" w:space="0" w:color="auto"/>
                                <w:left w:val="none" w:sz="0" w:space="0" w:color="auto"/>
                                <w:bottom w:val="none" w:sz="0" w:space="0" w:color="auto"/>
                                <w:right w:val="none" w:sz="0" w:space="0" w:color="auto"/>
                              </w:divBdr>
                              <w:divsChild>
                                <w:div w:id="760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3051730">
      <w:bodyDiv w:val="1"/>
      <w:marLeft w:val="0"/>
      <w:marRight w:val="0"/>
      <w:marTop w:val="0"/>
      <w:marBottom w:val="0"/>
      <w:divBdr>
        <w:top w:val="none" w:sz="0" w:space="0" w:color="auto"/>
        <w:left w:val="none" w:sz="0" w:space="0" w:color="auto"/>
        <w:bottom w:val="none" w:sz="0" w:space="0" w:color="auto"/>
        <w:right w:val="none" w:sz="0" w:space="0" w:color="auto"/>
      </w:divBdr>
      <w:divsChild>
        <w:div w:id="88938742">
          <w:marLeft w:val="0"/>
          <w:marRight w:val="0"/>
          <w:marTop w:val="0"/>
          <w:marBottom w:val="0"/>
          <w:divBdr>
            <w:top w:val="none" w:sz="0" w:space="0" w:color="auto"/>
            <w:left w:val="none" w:sz="0" w:space="0" w:color="auto"/>
            <w:bottom w:val="none" w:sz="0" w:space="0" w:color="auto"/>
            <w:right w:val="none" w:sz="0" w:space="0" w:color="auto"/>
          </w:divBdr>
          <w:divsChild>
            <w:div w:id="210652512">
              <w:marLeft w:val="0"/>
              <w:marRight w:val="0"/>
              <w:marTop w:val="0"/>
              <w:marBottom w:val="0"/>
              <w:divBdr>
                <w:top w:val="none" w:sz="0" w:space="0" w:color="auto"/>
                <w:left w:val="none" w:sz="0" w:space="0" w:color="auto"/>
                <w:bottom w:val="none" w:sz="0" w:space="0" w:color="auto"/>
                <w:right w:val="none" w:sz="0" w:space="0" w:color="auto"/>
              </w:divBdr>
              <w:divsChild>
                <w:div w:id="2120491374">
                  <w:marLeft w:val="0"/>
                  <w:marRight w:val="0"/>
                  <w:marTop w:val="0"/>
                  <w:marBottom w:val="0"/>
                  <w:divBdr>
                    <w:top w:val="none" w:sz="0" w:space="0" w:color="auto"/>
                    <w:left w:val="none" w:sz="0" w:space="0" w:color="auto"/>
                    <w:bottom w:val="none" w:sz="0" w:space="0" w:color="auto"/>
                    <w:right w:val="none" w:sz="0" w:space="0" w:color="auto"/>
                  </w:divBdr>
                  <w:divsChild>
                    <w:div w:id="581640421">
                      <w:marLeft w:val="0"/>
                      <w:marRight w:val="0"/>
                      <w:marTop w:val="0"/>
                      <w:marBottom w:val="0"/>
                      <w:divBdr>
                        <w:top w:val="none" w:sz="0" w:space="0" w:color="auto"/>
                        <w:left w:val="none" w:sz="0" w:space="0" w:color="auto"/>
                        <w:bottom w:val="none" w:sz="0" w:space="0" w:color="auto"/>
                        <w:right w:val="none" w:sz="0" w:space="0" w:color="auto"/>
                      </w:divBdr>
                      <w:divsChild>
                        <w:div w:id="2139255503">
                          <w:marLeft w:val="0"/>
                          <w:marRight w:val="0"/>
                          <w:marTop w:val="0"/>
                          <w:marBottom w:val="0"/>
                          <w:divBdr>
                            <w:top w:val="none" w:sz="0" w:space="0" w:color="auto"/>
                            <w:left w:val="none" w:sz="0" w:space="0" w:color="auto"/>
                            <w:bottom w:val="none" w:sz="0" w:space="0" w:color="auto"/>
                            <w:right w:val="none" w:sz="0" w:space="0" w:color="auto"/>
                          </w:divBdr>
                          <w:divsChild>
                            <w:div w:id="1256522625">
                              <w:marLeft w:val="0"/>
                              <w:marRight w:val="0"/>
                              <w:marTop w:val="0"/>
                              <w:marBottom w:val="0"/>
                              <w:divBdr>
                                <w:top w:val="none" w:sz="0" w:space="0" w:color="auto"/>
                                <w:left w:val="none" w:sz="0" w:space="0" w:color="auto"/>
                                <w:bottom w:val="none" w:sz="0" w:space="0" w:color="auto"/>
                                <w:right w:val="none" w:sz="0" w:space="0" w:color="auto"/>
                              </w:divBdr>
                              <w:divsChild>
                                <w:div w:id="816414587">
                                  <w:marLeft w:val="0"/>
                                  <w:marRight w:val="0"/>
                                  <w:marTop w:val="0"/>
                                  <w:marBottom w:val="0"/>
                                  <w:divBdr>
                                    <w:top w:val="none" w:sz="0" w:space="0" w:color="auto"/>
                                    <w:left w:val="none" w:sz="0" w:space="0" w:color="auto"/>
                                    <w:bottom w:val="none" w:sz="0" w:space="0" w:color="auto"/>
                                    <w:right w:val="none" w:sz="0" w:space="0" w:color="auto"/>
                                  </w:divBdr>
                                  <w:divsChild>
                                    <w:div w:id="1939022361">
                                      <w:marLeft w:val="0"/>
                                      <w:marRight w:val="0"/>
                                      <w:marTop w:val="0"/>
                                      <w:marBottom w:val="0"/>
                                      <w:divBdr>
                                        <w:top w:val="none" w:sz="0" w:space="0" w:color="auto"/>
                                        <w:left w:val="none" w:sz="0" w:space="0" w:color="auto"/>
                                        <w:bottom w:val="none" w:sz="0" w:space="0" w:color="auto"/>
                                        <w:right w:val="none" w:sz="0" w:space="0" w:color="auto"/>
                                      </w:divBdr>
                                      <w:divsChild>
                                        <w:div w:id="204409469">
                                          <w:marLeft w:val="0"/>
                                          <w:marRight w:val="0"/>
                                          <w:marTop w:val="0"/>
                                          <w:marBottom w:val="0"/>
                                          <w:divBdr>
                                            <w:top w:val="none" w:sz="0" w:space="0" w:color="auto"/>
                                            <w:left w:val="none" w:sz="0" w:space="0" w:color="auto"/>
                                            <w:bottom w:val="none" w:sz="0" w:space="0" w:color="auto"/>
                                            <w:right w:val="none" w:sz="0" w:space="0" w:color="auto"/>
                                          </w:divBdr>
                                          <w:divsChild>
                                            <w:div w:id="201018530">
                                              <w:marLeft w:val="0"/>
                                              <w:marRight w:val="0"/>
                                              <w:marTop w:val="0"/>
                                              <w:marBottom w:val="0"/>
                                              <w:divBdr>
                                                <w:top w:val="none" w:sz="0" w:space="0" w:color="auto"/>
                                                <w:left w:val="none" w:sz="0" w:space="0" w:color="auto"/>
                                                <w:bottom w:val="none" w:sz="0" w:space="0" w:color="auto"/>
                                                <w:right w:val="none" w:sz="0" w:space="0" w:color="auto"/>
                                              </w:divBdr>
                                              <w:divsChild>
                                                <w:div w:id="754860030">
                                                  <w:marLeft w:val="0"/>
                                                  <w:marRight w:val="0"/>
                                                  <w:marTop w:val="0"/>
                                                  <w:marBottom w:val="0"/>
                                                  <w:divBdr>
                                                    <w:top w:val="none" w:sz="0" w:space="0" w:color="auto"/>
                                                    <w:left w:val="none" w:sz="0" w:space="0" w:color="auto"/>
                                                    <w:bottom w:val="none" w:sz="0" w:space="0" w:color="auto"/>
                                                    <w:right w:val="none" w:sz="0" w:space="0" w:color="auto"/>
                                                  </w:divBdr>
                                                  <w:divsChild>
                                                    <w:div w:id="1642728834">
                                                      <w:marLeft w:val="0"/>
                                                      <w:marRight w:val="0"/>
                                                      <w:marTop w:val="0"/>
                                                      <w:marBottom w:val="0"/>
                                                      <w:divBdr>
                                                        <w:top w:val="none" w:sz="0" w:space="0" w:color="auto"/>
                                                        <w:left w:val="none" w:sz="0" w:space="0" w:color="auto"/>
                                                        <w:bottom w:val="none" w:sz="0" w:space="0" w:color="auto"/>
                                                        <w:right w:val="none" w:sz="0" w:space="0" w:color="auto"/>
                                                      </w:divBdr>
                                                      <w:divsChild>
                                                        <w:div w:id="2092460993">
                                                          <w:marLeft w:val="0"/>
                                                          <w:marRight w:val="0"/>
                                                          <w:marTop w:val="0"/>
                                                          <w:marBottom w:val="0"/>
                                                          <w:divBdr>
                                                            <w:top w:val="none" w:sz="0" w:space="0" w:color="auto"/>
                                                            <w:left w:val="none" w:sz="0" w:space="0" w:color="auto"/>
                                                            <w:bottom w:val="none" w:sz="0" w:space="0" w:color="auto"/>
                                                            <w:right w:val="none" w:sz="0" w:space="0" w:color="auto"/>
                                                          </w:divBdr>
                                                          <w:divsChild>
                                                            <w:div w:id="1528062436">
                                                              <w:marLeft w:val="0"/>
                                                              <w:marRight w:val="0"/>
                                                              <w:marTop w:val="0"/>
                                                              <w:marBottom w:val="0"/>
                                                              <w:divBdr>
                                                                <w:top w:val="none" w:sz="0" w:space="0" w:color="auto"/>
                                                                <w:left w:val="none" w:sz="0" w:space="0" w:color="auto"/>
                                                                <w:bottom w:val="none" w:sz="0" w:space="0" w:color="auto"/>
                                                                <w:right w:val="none" w:sz="0" w:space="0" w:color="auto"/>
                                                              </w:divBdr>
                                                              <w:divsChild>
                                                                <w:div w:id="73231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21921054">
      <w:bodyDiv w:val="1"/>
      <w:marLeft w:val="0"/>
      <w:marRight w:val="0"/>
      <w:marTop w:val="0"/>
      <w:marBottom w:val="0"/>
      <w:divBdr>
        <w:top w:val="none" w:sz="0" w:space="0" w:color="auto"/>
        <w:left w:val="none" w:sz="0" w:space="0" w:color="auto"/>
        <w:bottom w:val="none" w:sz="0" w:space="0" w:color="auto"/>
        <w:right w:val="none" w:sz="0" w:space="0" w:color="auto"/>
      </w:divBdr>
      <w:divsChild>
        <w:div w:id="1813936452">
          <w:marLeft w:val="0"/>
          <w:marRight w:val="0"/>
          <w:marTop w:val="0"/>
          <w:marBottom w:val="0"/>
          <w:divBdr>
            <w:top w:val="none" w:sz="0" w:space="0" w:color="auto"/>
            <w:left w:val="none" w:sz="0" w:space="0" w:color="auto"/>
            <w:bottom w:val="none" w:sz="0" w:space="0" w:color="auto"/>
            <w:right w:val="none" w:sz="0" w:space="0" w:color="auto"/>
          </w:divBdr>
          <w:divsChild>
            <w:div w:id="1445229319">
              <w:marLeft w:val="0"/>
              <w:marRight w:val="0"/>
              <w:marTop w:val="0"/>
              <w:marBottom w:val="0"/>
              <w:divBdr>
                <w:top w:val="none" w:sz="0" w:space="0" w:color="auto"/>
                <w:left w:val="none" w:sz="0" w:space="0" w:color="auto"/>
                <w:bottom w:val="none" w:sz="0" w:space="0" w:color="auto"/>
                <w:right w:val="none" w:sz="0" w:space="0" w:color="auto"/>
              </w:divBdr>
              <w:divsChild>
                <w:div w:id="1428040969">
                  <w:marLeft w:val="0"/>
                  <w:marRight w:val="0"/>
                  <w:marTop w:val="0"/>
                  <w:marBottom w:val="0"/>
                  <w:divBdr>
                    <w:top w:val="none" w:sz="0" w:space="0" w:color="auto"/>
                    <w:left w:val="none" w:sz="0" w:space="0" w:color="auto"/>
                    <w:bottom w:val="none" w:sz="0" w:space="0" w:color="auto"/>
                    <w:right w:val="none" w:sz="0" w:space="0" w:color="auto"/>
                  </w:divBdr>
                  <w:divsChild>
                    <w:div w:id="1560827589">
                      <w:marLeft w:val="0"/>
                      <w:marRight w:val="0"/>
                      <w:marTop w:val="0"/>
                      <w:marBottom w:val="0"/>
                      <w:divBdr>
                        <w:top w:val="none" w:sz="0" w:space="0" w:color="auto"/>
                        <w:left w:val="none" w:sz="0" w:space="0" w:color="auto"/>
                        <w:bottom w:val="none" w:sz="0" w:space="0" w:color="auto"/>
                        <w:right w:val="none" w:sz="0" w:space="0" w:color="auto"/>
                      </w:divBdr>
                      <w:divsChild>
                        <w:div w:id="6102607">
                          <w:marLeft w:val="0"/>
                          <w:marRight w:val="0"/>
                          <w:marTop w:val="0"/>
                          <w:marBottom w:val="0"/>
                          <w:divBdr>
                            <w:top w:val="none" w:sz="0" w:space="0" w:color="auto"/>
                            <w:left w:val="none" w:sz="0" w:space="0" w:color="auto"/>
                            <w:bottom w:val="none" w:sz="0" w:space="0" w:color="auto"/>
                            <w:right w:val="none" w:sz="0" w:space="0" w:color="auto"/>
                          </w:divBdr>
                          <w:divsChild>
                            <w:div w:id="220487817">
                              <w:marLeft w:val="0"/>
                              <w:marRight w:val="0"/>
                              <w:marTop w:val="0"/>
                              <w:marBottom w:val="0"/>
                              <w:divBdr>
                                <w:top w:val="none" w:sz="0" w:space="0" w:color="auto"/>
                                <w:left w:val="none" w:sz="0" w:space="0" w:color="auto"/>
                                <w:bottom w:val="none" w:sz="0" w:space="0" w:color="auto"/>
                                <w:right w:val="none" w:sz="0" w:space="0" w:color="auto"/>
                              </w:divBdr>
                              <w:divsChild>
                                <w:div w:id="1478841847">
                                  <w:marLeft w:val="0"/>
                                  <w:marRight w:val="0"/>
                                  <w:marTop w:val="0"/>
                                  <w:marBottom w:val="0"/>
                                  <w:divBdr>
                                    <w:top w:val="none" w:sz="0" w:space="0" w:color="auto"/>
                                    <w:left w:val="none" w:sz="0" w:space="0" w:color="auto"/>
                                    <w:bottom w:val="none" w:sz="0" w:space="0" w:color="auto"/>
                                    <w:right w:val="none" w:sz="0" w:space="0" w:color="auto"/>
                                  </w:divBdr>
                                  <w:divsChild>
                                    <w:div w:id="481118632">
                                      <w:marLeft w:val="0"/>
                                      <w:marRight w:val="0"/>
                                      <w:marTop w:val="0"/>
                                      <w:marBottom w:val="0"/>
                                      <w:divBdr>
                                        <w:top w:val="none" w:sz="0" w:space="0" w:color="auto"/>
                                        <w:left w:val="none" w:sz="0" w:space="0" w:color="auto"/>
                                        <w:bottom w:val="none" w:sz="0" w:space="0" w:color="auto"/>
                                        <w:right w:val="none" w:sz="0" w:space="0" w:color="auto"/>
                                      </w:divBdr>
                                      <w:divsChild>
                                        <w:div w:id="210381184">
                                          <w:marLeft w:val="0"/>
                                          <w:marRight w:val="0"/>
                                          <w:marTop w:val="0"/>
                                          <w:marBottom w:val="0"/>
                                          <w:divBdr>
                                            <w:top w:val="none" w:sz="0" w:space="0" w:color="auto"/>
                                            <w:left w:val="none" w:sz="0" w:space="0" w:color="auto"/>
                                            <w:bottom w:val="none" w:sz="0" w:space="0" w:color="auto"/>
                                            <w:right w:val="none" w:sz="0" w:space="0" w:color="auto"/>
                                          </w:divBdr>
                                          <w:divsChild>
                                            <w:div w:id="1003167389">
                                              <w:marLeft w:val="0"/>
                                              <w:marRight w:val="0"/>
                                              <w:marTop w:val="0"/>
                                              <w:marBottom w:val="0"/>
                                              <w:divBdr>
                                                <w:top w:val="none" w:sz="0" w:space="0" w:color="auto"/>
                                                <w:left w:val="none" w:sz="0" w:space="0" w:color="auto"/>
                                                <w:bottom w:val="none" w:sz="0" w:space="0" w:color="auto"/>
                                                <w:right w:val="none" w:sz="0" w:space="0" w:color="auto"/>
                                              </w:divBdr>
                                              <w:divsChild>
                                                <w:div w:id="2073651592">
                                                  <w:marLeft w:val="0"/>
                                                  <w:marRight w:val="0"/>
                                                  <w:marTop w:val="0"/>
                                                  <w:marBottom w:val="0"/>
                                                  <w:divBdr>
                                                    <w:top w:val="none" w:sz="0" w:space="0" w:color="auto"/>
                                                    <w:left w:val="none" w:sz="0" w:space="0" w:color="auto"/>
                                                    <w:bottom w:val="none" w:sz="0" w:space="0" w:color="auto"/>
                                                    <w:right w:val="none" w:sz="0" w:space="0" w:color="auto"/>
                                                  </w:divBdr>
                                                  <w:divsChild>
                                                    <w:div w:id="13988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0215980">
      <w:bodyDiv w:val="1"/>
      <w:marLeft w:val="0"/>
      <w:marRight w:val="0"/>
      <w:marTop w:val="0"/>
      <w:marBottom w:val="0"/>
      <w:divBdr>
        <w:top w:val="none" w:sz="0" w:space="0" w:color="auto"/>
        <w:left w:val="none" w:sz="0" w:space="0" w:color="auto"/>
        <w:bottom w:val="none" w:sz="0" w:space="0" w:color="auto"/>
        <w:right w:val="none" w:sz="0" w:space="0" w:color="auto"/>
      </w:divBdr>
      <w:divsChild>
        <w:div w:id="132598901">
          <w:marLeft w:val="0"/>
          <w:marRight w:val="0"/>
          <w:marTop w:val="0"/>
          <w:marBottom w:val="0"/>
          <w:divBdr>
            <w:top w:val="none" w:sz="0" w:space="0" w:color="auto"/>
            <w:left w:val="none" w:sz="0" w:space="0" w:color="auto"/>
            <w:bottom w:val="none" w:sz="0" w:space="0" w:color="auto"/>
            <w:right w:val="none" w:sz="0" w:space="0" w:color="auto"/>
          </w:divBdr>
          <w:divsChild>
            <w:div w:id="592789192">
              <w:marLeft w:val="0"/>
              <w:marRight w:val="0"/>
              <w:marTop w:val="0"/>
              <w:marBottom w:val="0"/>
              <w:divBdr>
                <w:top w:val="none" w:sz="0" w:space="0" w:color="auto"/>
                <w:left w:val="none" w:sz="0" w:space="0" w:color="auto"/>
                <w:bottom w:val="none" w:sz="0" w:space="0" w:color="auto"/>
                <w:right w:val="none" w:sz="0" w:space="0" w:color="auto"/>
              </w:divBdr>
              <w:divsChild>
                <w:div w:id="967665038">
                  <w:marLeft w:val="0"/>
                  <w:marRight w:val="0"/>
                  <w:marTop w:val="0"/>
                  <w:marBottom w:val="0"/>
                  <w:divBdr>
                    <w:top w:val="none" w:sz="0" w:space="0" w:color="auto"/>
                    <w:left w:val="none" w:sz="0" w:space="0" w:color="auto"/>
                    <w:bottom w:val="none" w:sz="0" w:space="0" w:color="auto"/>
                    <w:right w:val="none" w:sz="0" w:space="0" w:color="auto"/>
                  </w:divBdr>
                  <w:divsChild>
                    <w:div w:id="1495564242">
                      <w:marLeft w:val="0"/>
                      <w:marRight w:val="0"/>
                      <w:marTop w:val="0"/>
                      <w:marBottom w:val="0"/>
                      <w:divBdr>
                        <w:top w:val="none" w:sz="0" w:space="0" w:color="auto"/>
                        <w:left w:val="none" w:sz="0" w:space="0" w:color="auto"/>
                        <w:bottom w:val="none" w:sz="0" w:space="0" w:color="auto"/>
                        <w:right w:val="none" w:sz="0" w:space="0" w:color="auto"/>
                      </w:divBdr>
                      <w:divsChild>
                        <w:div w:id="1302537144">
                          <w:marLeft w:val="0"/>
                          <w:marRight w:val="0"/>
                          <w:marTop w:val="0"/>
                          <w:marBottom w:val="0"/>
                          <w:divBdr>
                            <w:top w:val="none" w:sz="0" w:space="0" w:color="auto"/>
                            <w:left w:val="none" w:sz="0" w:space="0" w:color="auto"/>
                            <w:bottom w:val="none" w:sz="0" w:space="0" w:color="auto"/>
                            <w:right w:val="none" w:sz="0" w:space="0" w:color="auto"/>
                          </w:divBdr>
                          <w:divsChild>
                            <w:div w:id="1156728889">
                              <w:marLeft w:val="0"/>
                              <w:marRight w:val="0"/>
                              <w:marTop w:val="0"/>
                              <w:marBottom w:val="0"/>
                              <w:divBdr>
                                <w:top w:val="none" w:sz="0" w:space="0" w:color="auto"/>
                                <w:left w:val="none" w:sz="0" w:space="0" w:color="auto"/>
                                <w:bottom w:val="none" w:sz="0" w:space="0" w:color="auto"/>
                                <w:right w:val="none" w:sz="0" w:space="0" w:color="auto"/>
                              </w:divBdr>
                              <w:divsChild>
                                <w:div w:id="1086878873">
                                  <w:marLeft w:val="0"/>
                                  <w:marRight w:val="0"/>
                                  <w:marTop w:val="0"/>
                                  <w:marBottom w:val="0"/>
                                  <w:divBdr>
                                    <w:top w:val="none" w:sz="0" w:space="0" w:color="auto"/>
                                    <w:left w:val="none" w:sz="0" w:space="0" w:color="auto"/>
                                    <w:bottom w:val="none" w:sz="0" w:space="0" w:color="auto"/>
                                    <w:right w:val="none" w:sz="0" w:space="0" w:color="auto"/>
                                  </w:divBdr>
                                  <w:divsChild>
                                    <w:div w:id="1329672621">
                                      <w:marLeft w:val="0"/>
                                      <w:marRight w:val="0"/>
                                      <w:marTop w:val="0"/>
                                      <w:marBottom w:val="0"/>
                                      <w:divBdr>
                                        <w:top w:val="none" w:sz="0" w:space="0" w:color="auto"/>
                                        <w:left w:val="none" w:sz="0" w:space="0" w:color="auto"/>
                                        <w:bottom w:val="none" w:sz="0" w:space="0" w:color="auto"/>
                                        <w:right w:val="none" w:sz="0" w:space="0" w:color="auto"/>
                                      </w:divBdr>
                                      <w:divsChild>
                                        <w:div w:id="1416172320">
                                          <w:marLeft w:val="0"/>
                                          <w:marRight w:val="0"/>
                                          <w:marTop w:val="0"/>
                                          <w:marBottom w:val="0"/>
                                          <w:divBdr>
                                            <w:top w:val="none" w:sz="0" w:space="0" w:color="auto"/>
                                            <w:left w:val="none" w:sz="0" w:space="0" w:color="auto"/>
                                            <w:bottom w:val="none" w:sz="0" w:space="0" w:color="auto"/>
                                            <w:right w:val="none" w:sz="0" w:space="0" w:color="auto"/>
                                          </w:divBdr>
                                          <w:divsChild>
                                            <w:div w:id="595091622">
                                              <w:marLeft w:val="0"/>
                                              <w:marRight w:val="0"/>
                                              <w:marTop w:val="0"/>
                                              <w:marBottom w:val="0"/>
                                              <w:divBdr>
                                                <w:top w:val="none" w:sz="0" w:space="0" w:color="auto"/>
                                                <w:left w:val="none" w:sz="0" w:space="0" w:color="auto"/>
                                                <w:bottom w:val="none" w:sz="0" w:space="0" w:color="auto"/>
                                                <w:right w:val="none" w:sz="0" w:space="0" w:color="auto"/>
                                              </w:divBdr>
                                              <w:divsChild>
                                                <w:div w:id="1020737768">
                                                  <w:marLeft w:val="0"/>
                                                  <w:marRight w:val="0"/>
                                                  <w:marTop w:val="0"/>
                                                  <w:marBottom w:val="0"/>
                                                  <w:divBdr>
                                                    <w:top w:val="none" w:sz="0" w:space="0" w:color="auto"/>
                                                    <w:left w:val="none" w:sz="0" w:space="0" w:color="auto"/>
                                                    <w:bottom w:val="none" w:sz="0" w:space="0" w:color="auto"/>
                                                    <w:right w:val="none" w:sz="0" w:space="0" w:color="auto"/>
                                                  </w:divBdr>
                                                  <w:divsChild>
                                                    <w:div w:id="1032145523">
                                                      <w:marLeft w:val="0"/>
                                                      <w:marRight w:val="0"/>
                                                      <w:marTop w:val="0"/>
                                                      <w:marBottom w:val="0"/>
                                                      <w:divBdr>
                                                        <w:top w:val="none" w:sz="0" w:space="0" w:color="auto"/>
                                                        <w:left w:val="none" w:sz="0" w:space="0" w:color="auto"/>
                                                        <w:bottom w:val="none" w:sz="0" w:space="0" w:color="auto"/>
                                                        <w:right w:val="none" w:sz="0" w:space="0" w:color="auto"/>
                                                      </w:divBdr>
                                                      <w:divsChild>
                                                        <w:div w:id="572207069">
                                                          <w:marLeft w:val="0"/>
                                                          <w:marRight w:val="0"/>
                                                          <w:marTop w:val="0"/>
                                                          <w:marBottom w:val="0"/>
                                                          <w:divBdr>
                                                            <w:top w:val="none" w:sz="0" w:space="0" w:color="auto"/>
                                                            <w:left w:val="none" w:sz="0" w:space="0" w:color="auto"/>
                                                            <w:bottom w:val="none" w:sz="0" w:space="0" w:color="auto"/>
                                                            <w:right w:val="none" w:sz="0" w:space="0" w:color="auto"/>
                                                          </w:divBdr>
                                                          <w:divsChild>
                                                            <w:div w:id="1515071695">
                                                              <w:marLeft w:val="0"/>
                                                              <w:marRight w:val="0"/>
                                                              <w:marTop w:val="0"/>
                                                              <w:marBottom w:val="0"/>
                                                              <w:divBdr>
                                                                <w:top w:val="none" w:sz="0" w:space="0" w:color="auto"/>
                                                                <w:left w:val="none" w:sz="0" w:space="0" w:color="auto"/>
                                                                <w:bottom w:val="none" w:sz="0" w:space="0" w:color="auto"/>
                                                                <w:right w:val="none" w:sz="0" w:space="0" w:color="auto"/>
                                                              </w:divBdr>
                                                              <w:divsChild>
                                                                <w:div w:id="149556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24560172">
      <w:bodyDiv w:val="1"/>
      <w:marLeft w:val="0"/>
      <w:marRight w:val="0"/>
      <w:marTop w:val="0"/>
      <w:marBottom w:val="0"/>
      <w:divBdr>
        <w:top w:val="none" w:sz="0" w:space="0" w:color="auto"/>
        <w:left w:val="none" w:sz="0" w:space="0" w:color="auto"/>
        <w:bottom w:val="none" w:sz="0" w:space="0" w:color="auto"/>
        <w:right w:val="none" w:sz="0" w:space="0" w:color="auto"/>
      </w:divBdr>
      <w:divsChild>
        <w:div w:id="1168136477">
          <w:marLeft w:val="0"/>
          <w:marRight w:val="0"/>
          <w:marTop w:val="0"/>
          <w:marBottom w:val="0"/>
          <w:divBdr>
            <w:top w:val="none" w:sz="0" w:space="0" w:color="auto"/>
            <w:left w:val="none" w:sz="0" w:space="0" w:color="auto"/>
            <w:bottom w:val="none" w:sz="0" w:space="0" w:color="auto"/>
            <w:right w:val="none" w:sz="0" w:space="0" w:color="auto"/>
          </w:divBdr>
          <w:divsChild>
            <w:div w:id="570694386">
              <w:marLeft w:val="0"/>
              <w:marRight w:val="0"/>
              <w:marTop w:val="0"/>
              <w:marBottom w:val="0"/>
              <w:divBdr>
                <w:top w:val="none" w:sz="0" w:space="0" w:color="auto"/>
                <w:left w:val="none" w:sz="0" w:space="0" w:color="auto"/>
                <w:bottom w:val="none" w:sz="0" w:space="0" w:color="auto"/>
                <w:right w:val="none" w:sz="0" w:space="0" w:color="auto"/>
              </w:divBdr>
              <w:divsChild>
                <w:div w:id="343944159">
                  <w:marLeft w:val="0"/>
                  <w:marRight w:val="0"/>
                  <w:marTop w:val="0"/>
                  <w:marBottom w:val="0"/>
                  <w:divBdr>
                    <w:top w:val="none" w:sz="0" w:space="0" w:color="auto"/>
                    <w:left w:val="none" w:sz="0" w:space="0" w:color="auto"/>
                    <w:bottom w:val="none" w:sz="0" w:space="0" w:color="auto"/>
                    <w:right w:val="none" w:sz="0" w:space="0" w:color="auto"/>
                  </w:divBdr>
                  <w:divsChild>
                    <w:div w:id="1234050474">
                      <w:marLeft w:val="0"/>
                      <w:marRight w:val="0"/>
                      <w:marTop w:val="0"/>
                      <w:marBottom w:val="0"/>
                      <w:divBdr>
                        <w:top w:val="none" w:sz="0" w:space="0" w:color="auto"/>
                        <w:left w:val="none" w:sz="0" w:space="0" w:color="auto"/>
                        <w:bottom w:val="none" w:sz="0" w:space="0" w:color="auto"/>
                        <w:right w:val="none" w:sz="0" w:space="0" w:color="auto"/>
                      </w:divBdr>
                      <w:divsChild>
                        <w:div w:id="235746993">
                          <w:marLeft w:val="0"/>
                          <w:marRight w:val="0"/>
                          <w:marTop w:val="0"/>
                          <w:marBottom w:val="0"/>
                          <w:divBdr>
                            <w:top w:val="none" w:sz="0" w:space="0" w:color="auto"/>
                            <w:left w:val="none" w:sz="0" w:space="0" w:color="auto"/>
                            <w:bottom w:val="none" w:sz="0" w:space="0" w:color="auto"/>
                            <w:right w:val="none" w:sz="0" w:space="0" w:color="auto"/>
                          </w:divBdr>
                          <w:divsChild>
                            <w:div w:id="220137523">
                              <w:marLeft w:val="0"/>
                              <w:marRight w:val="0"/>
                              <w:marTop w:val="0"/>
                              <w:marBottom w:val="0"/>
                              <w:divBdr>
                                <w:top w:val="none" w:sz="0" w:space="0" w:color="auto"/>
                                <w:left w:val="none" w:sz="0" w:space="0" w:color="auto"/>
                                <w:bottom w:val="none" w:sz="0" w:space="0" w:color="auto"/>
                                <w:right w:val="none" w:sz="0" w:space="0" w:color="auto"/>
                              </w:divBdr>
                              <w:divsChild>
                                <w:div w:id="1140225363">
                                  <w:marLeft w:val="0"/>
                                  <w:marRight w:val="0"/>
                                  <w:marTop w:val="0"/>
                                  <w:marBottom w:val="0"/>
                                  <w:divBdr>
                                    <w:top w:val="none" w:sz="0" w:space="0" w:color="auto"/>
                                    <w:left w:val="none" w:sz="0" w:space="0" w:color="auto"/>
                                    <w:bottom w:val="none" w:sz="0" w:space="0" w:color="auto"/>
                                    <w:right w:val="none" w:sz="0" w:space="0" w:color="auto"/>
                                  </w:divBdr>
                                  <w:divsChild>
                                    <w:div w:id="1764571642">
                                      <w:marLeft w:val="0"/>
                                      <w:marRight w:val="0"/>
                                      <w:marTop w:val="0"/>
                                      <w:marBottom w:val="0"/>
                                      <w:divBdr>
                                        <w:top w:val="none" w:sz="0" w:space="0" w:color="auto"/>
                                        <w:left w:val="none" w:sz="0" w:space="0" w:color="auto"/>
                                        <w:bottom w:val="none" w:sz="0" w:space="0" w:color="auto"/>
                                        <w:right w:val="none" w:sz="0" w:space="0" w:color="auto"/>
                                      </w:divBdr>
                                      <w:divsChild>
                                        <w:div w:id="1906646204">
                                          <w:marLeft w:val="0"/>
                                          <w:marRight w:val="0"/>
                                          <w:marTop w:val="0"/>
                                          <w:marBottom w:val="0"/>
                                          <w:divBdr>
                                            <w:top w:val="none" w:sz="0" w:space="0" w:color="auto"/>
                                            <w:left w:val="none" w:sz="0" w:space="0" w:color="auto"/>
                                            <w:bottom w:val="none" w:sz="0" w:space="0" w:color="auto"/>
                                            <w:right w:val="none" w:sz="0" w:space="0" w:color="auto"/>
                                          </w:divBdr>
                                          <w:divsChild>
                                            <w:div w:id="1770345994">
                                              <w:marLeft w:val="0"/>
                                              <w:marRight w:val="0"/>
                                              <w:marTop w:val="0"/>
                                              <w:marBottom w:val="0"/>
                                              <w:divBdr>
                                                <w:top w:val="none" w:sz="0" w:space="0" w:color="auto"/>
                                                <w:left w:val="none" w:sz="0" w:space="0" w:color="auto"/>
                                                <w:bottom w:val="none" w:sz="0" w:space="0" w:color="auto"/>
                                                <w:right w:val="none" w:sz="0" w:space="0" w:color="auto"/>
                                              </w:divBdr>
                                              <w:divsChild>
                                                <w:div w:id="1461343217">
                                                  <w:marLeft w:val="0"/>
                                                  <w:marRight w:val="0"/>
                                                  <w:marTop w:val="0"/>
                                                  <w:marBottom w:val="0"/>
                                                  <w:divBdr>
                                                    <w:top w:val="none" w:sz="0" w:space="0" w:color="auto"/>
                                                    <w:left w:val="none" w:sz="0" w:space="0" w:color="auto"/>
                                                    <w:bottom w:val="none" w:sz="0" w:space="0" w:color="auto"/>
                                                    <w:right w:val="none" w:sz="0" w:space="0" w:color="auto"/>
                                                  </w:divBdr>
                                                  <w:divsChild>
                                                    <w:div w:id="1513642956">
                                                      <w:marLeft w:val="0"/>
                                                      <w:marRight w:val="0"/>
                                                      <w:marTop w:val="0"/>
                                                      <w:marBottom w:val="0"/>
                                                      <w:divBdr>
                                                        <w:top w:val="none" w:sz="0" w:space="0" w:color="auto"/>
                                                        <w:left w:val="none" w:sz="0" w:space="0" w:color="auto"/>
                                                        <w:bottom w:val="none" w:sz="0" w:space="0" w:color="auto"/>
                                                        <w:right w:val="none" w:sz="0" w:space="0" w:color="auto"/>
                                                      </w:divBdr>
                                                      <w:divsChild>
                                                        <w:div w:id="1383139524">
                                                          <w:marLeft w:val="0"/>
                                                          <w:marRight w:val="0"/>
                                                          <w:marTop w:val="0"/>
                                                          <w:marBottom w:val="0"/>
                                                          <w:divBdr>
                                                            <w:top w:val="none" w:sz="0" w:space="0" w:color="auto"/>
                                                            <w:left w:val="none" w:sz="0" w:space="0" w:color="auto"/>
                                                            <w:bottom w:val="none" w:sz="0" w:space="0" w:color="auto"/>
                                                            <w:right w:val="none" w:sz="0" w:space="0" w:color="auto"/>
                                                          </w:divBdr>
                                                          <w:divsChild>
                                                            <w:div w:id="173571440">
                                                              <w:marLeft w:val="0"/>
                                                              <w:marRight w:val="0"/>
                                                              <w:marTop w:val="0"/>
                                                              <w:marBottom w:val="0"/>
                                                              <w:divBdr>
                                                                <w:top w:val="none" w:sz="0" w:space="0" w:color="auto"/>
                                                                <w:left w:val="none" w:sz="0" w:space="0" w:color="auto"/>
                                                                <w:bottom w:val="none" w:sz="0" w:space="0" w:color="auto"/>
                                                                <w:right w:val="none" w:sz="0" w:space="0" w:color="auto"/>
                                                              </w:divBdr>
                                                              <w:divsChild>
                                                                <w:div w:id="6077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18143815">
      <w:bodyDiv w:val="1"/>
      <w:marLeft w:val="0"/>
      <w:marRight w:val="0"/>
      <w:marTop w:val="0"/>
      <w:marBottom w:val="0"/>
      <w:divBdr>
        <w:top w:val="none" w:sz="0" w:space="0" w:color="auto"/>
        <w:left w:val="none" w:sz="0" w:space="0" w:color="auto"/>
        <w:bottom w:val="none" w:sz="0" w:space="0" w:color="auto"/>
        <w:right w:val="none" w:sz="0" w:space="0" w:color="auto"/>
      </w:divBdr>
      <w:divsChild>
        <w:div w:id="1928034031">
          <w:marLeft w:val="0"/>
          <w:marRight w:val="0"/>
          <w:marTop w:val="0"/>
          <w:marBottom w:val="0"/>
          <w:divBdr>
            <w:top w:val="none" w:sz="0" w:space="0" w:color="auto"/>
            <w:left w:val="none" w:sz="0" w:space="0" w:color="auto"/>
            <w:bottom w:val="none" w:sz="0" w:space="0" w:color="auto"/>
            <w:right w:val="none" w:sz="0" w:space="0" w:color="auto"/>
          </w:divBdr>
          <w:divsChild>
            <w:div w:id="2044817512">
              <w:marLeft w:val="0"/>
              <w:marRight w:val="0"/>
              <w:marTop w:val="0"/>
              <w:marBottom w:val="0"/>
              <w:divBdr>
                <w:top w:val="none" w:sz="0" w:space="0" w:color="auto"/>
                <w:left w:val="none" w:sz="0" w:space="0" w:color="auto"/>
                <w:bottom w:val="none" w:sz="0" w:space="0" w:color="auto"/>
                <w:right w:val="none" w:sz="0" w:space="0" w:color="auto"/>
              </w:divBdr>
              <w:divsChild>
                <w:div w:id="653418062">
                  <w:marLeft w:val="0"/>
                  <w:marRight w:val="0"/>
                  <w:marTop w:val="0"/>
                  <w:marBottom w:val="0"/>
                  <w:divBdr>
                    <w:top w:val="none" w:sz="0" w:space="0" w:color="auto"/>
                    <w:left w:val="none" w:sz="0" w:space="0" w:color="auto"/>
                    <w:bottom w:val="none" w:sz="0" w:space="0" w:color="auto"/>
                    <w:right w:val="none" w:sz="0" w:space="0" w:color="auto"/>
                  </w:divBdr>
                  <w:divsChild>
                    <w:div w:id="1693146496">
                      <w:marLeft w:val="0"/>
                      <w:marRight w:val="0"/>
                      <w:marTop w:val="0"/>
                      <w:marBottom w:val="0"/>
                      <w:divBdr>
                        <w:top w:val="none" w:sz="0" w:space="0" w:color="auto"/>
                        <w:left w:val="none" w:sz="0" w:space="0" w:color="auto"/>
                        <w:bottom w:val="none" w:sz="0" w:space="0" w:color="auto"/>
                        <w:right w:val="none" w:sz="0" w:space="0" w:color="auto"/>
                      </w:divBdr>
                      <w:divsChild>
                        <w:div w:id="35131319">
                          <w:marLeft w:val="0"/>
                          <w:marRight w:val="0"/>
                          <w:marTop w:val="0"/>
                          <w:marBottom w:val="0"/>
                          <w:divBdr>
                            <w:top w:val="none" w:sz="0" w:space="0" w:color="auto"/>
                            <w:left w:val="none" w:sz="0" w:space="0" w:color="auto"/>
                            <w:bottom w:val="none" w:sz="0" w:space="0" w:color="auto"/>
                            <w:right w:val="none" w:sz="0" w:space="0" w:color="auto"/>
                          </w:divBdr>
                          <w:divsChild>
                            <w:div w:id="1138452938">
                              <w:marLeft w:val="0"/>
                              <w:marRight w:val="0"/>
                              <w:marTop w:val="0"/>
                              <w:marBottom w:val="0"/>
                              <w:divBdr>
                                <w:top w:val="none" w:sz="0" w:space="0" w:color="auto"/>
                                <w:left w:val="none" w:sz="0" w:space="0" w:color="auto"/>
                                <w:bottom w:val="none" w:sz="0" w:space="0" w:color="auto"/>
                                <w:right w:val="none" w:sz="0" w:space="0" w:color="auto"/>
                              </w:divBdr>
                              <w:divsChild>
                                <w:div w:id="1760327743">
                                  <w:marLeft w:val="0"/>
                                  <w:marRight w:val="0"/>
                                  <w:marTop w:val="0"/>
                                  <w:marBottom w:val="0"/>
                                  <w:divBdr>
                                    <w:top w:val="none" w:sz="0" w:space="0" w:color="auto"/>
                                    <w:left w:val="none" w:sz="0" w:space="0" w:color="auto"/>
                                    <w:bottom w:val="none" w:sz="0" w:space="0" w:color="auto"/>
                                    <w:right w:val="none" w:sz="0" w:space="0" w:color="auto"/>
                                  </w:divBdr>
                                  <w:divsChild>
                                    <w:div w:id="1187478863">
                                      <w:marLeft w:val="0"/>
                                      <w:marRight w:val="0"/>
                                      <w:marTop w:val="0"/>
                                      <w:marBottom w:val="0"/>
                                      <w:divBdr>
                                        <w:top w:val="none" w:sz="0" w:space="0" w:color="auto"/>
                                        <w:left w:val="none" w:sz="0" w:space="0" w:color="auto"/>
                                        <w:bottom w:val="none" w:sz="0" w:space="0" w:color="auto"/>
                                        <w:right w:val="none" w:sz="0" w:space="0" w:color="auto"/>
                                      </w:divBdr>
                                      <w:divsChild>
                                        <w:div w:id="689797927">
                                          <w:marLeft w:val="0"/>
                                          <w:marRight w:val="0"/>
                                          <w:marTop w:val="0"/>
                                          <w:marBottom w:val="0"/>
                                          <w:divBdr>
                                            <w:top w:val="none" w:sz="0" w:space="0" w:color="auto"/>
                                            <w:left w:val="none" w:sz="0" w:space="0" w:color="auto"/>
                                            <w:bottom w:val="none" w:sz="0" w:space="0" w:color="auto"/>
                                            <w:right w:val="none" w:sz="0" w:space="0" w:color="auto"/>
                                          </w:divBdr>
                                          <w:divsChild>
                                            <w:div w:id="1162696614">
                                              <w:marLeft w:val="0"/>
                                              <w:marRight w:val="0"/>
                                              <w:marTop w:val="0"/>
                                              <w:marBottom w:val="0"/>
                                              <w:divBdr>
                                                <w:top w:val="none" w:sz="0" w:space="0" w:color="auto"/>
                                                <w:left w:val="none" w:sz="0" w:space="0" w:color="auto"/>
                                                <w:bottom w:val="none" w:sz="0" w:space="0" w:color="auto"/>
                                                <w:right w:val="none" w:sz="0" w:space="0" w:color="auto"/>
                                              </w:divBdr>
                                              <w:divsChild>
                                                <w:div w:id="82146727">
                                                  <w:marLeft w:val="0"/>
                                                  <w:marRight w:val="0"/>
                                                  <w:marTop w:val="0"/>
                                                  <w:marBottom w:val="0"/>
                                                  <w:divBdr>
                                                    <w:top w:val="none" w:sz="0" w:space="0" w:color="auto"/>
                                                    <w:left w:val="none" w:sz="0" w:space="0" w:color="auto"/>
                                                    <w:bottom w:val="none" w:sz="0" w:space="0" w:color="auto"/>
                                                    <w:right w:val="none" w:sz="0" w:space="0" w:color="auto"/>
                                                  </w:divBdr>
                                                  <w:divsChild>
                                                    <w:div w:id="468089114">
                                                      <w:marLeft w:val="0"/>
                                                      <w:marRight w:val="0"/>
                                                      <w:marTop w:val="0"/>
                                                      <w:marBottom w:val="0"/>
                                                      <w:divBdr>
                                                        <w:top w:val="none" w:sz="0" w:space="0" w:color="auto"/>
                                                        <w:left w:val="none" w:sz="0" w:space="0" w:color="auto"/>
                                                        <w:bottom w:val="none" w:sz="0" w:space="0" w:color="auto"/>
                                                        <w:right w:val="none" w:sz="0" w:space="0" w:color="auto"/>
                                                      </w:divBdr>
                                                      <w:divsChild>
                                                        <w:div w:id="1009478677">
                                                          <w:marLeft w:val="0"/>
                                                          <w:marRight w:val="0"/>
                                                          <w:marTop w:val="0"/>
                                                          <w:marBottom w:val="0"/>
                                                          <w:divBdr>
                                                            <w:top w:val="none" w:sz="0" w:space="0" w:color="auto"/>
                                                            <w:left w:val="none" w:sz="0" w:space="0" w:color="auto"/>
                                                            <w:bottom w:val="none" w:sz="0" w:space="0" w:color="auto"/>
                                                            <w:right w:val="none" w:sz="0" w:space="0" w:color="auto"/>
                                                          </w:divBdr>
                                                          <w:divsChild>
                                                            <w:div w:id="1366517008">
                                                              <w:marLeft w:val="0"/>
                                                              <w:marRight w:val="0"/>
                                                              <w:marTop w:val="0"/>
                                                              <w:marBottom w:val="0"/>
                                                              <w:divBdr>
                                                                <w:top w:val="none" w:sz="0" w:space="0" w:color="auto"/>
                                                                <w:left w:val="none" w:sz="0" w:space="0" w:color="auto"/>
                                                                <w:bottom w:val="none" w:sz="0" w:space="0" w:color="auto"/>
                                                                <w:right w:val="none" w:sz="0" w:space="0" w:color="auto"/>
                                                              </w:divBdr>
                                                              <w:divsChild>
                                                                <w:div w:id="207750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6827235">
      <w:bodyDiv w:val="1"/>
      <w:marLeft w:val="0"/>
      <w:marRight w:val="0"/>
      <w:marTop w:val="0"/>
      <w:marBottom w:val="0"/>
      <w:divBdr>
        <w:top w:val="none" w:sz="0" w:space="0" w:color="auto"/>
        <w:left w:val="none" w:sz="0" w:space="0" w:color="auto"/>
        <w:bottom w:val="none" w:sz="0" w:space="0" w:color="auto"/>
        <w:right w:val="none" w:sz="0" w:space="0" w:color="auto"/>
      </w:divBdr>
      <w:divsChild>
        <w:div w:id="1432891421">
          <w:marLeft w:val="0"/>
          <w:marRight w:val="0"/>
          <w:marTop w:val="0"/>
          <w:marBottom w:val="0"/>
          <w:divBdr>
            <w:top w:val="none" w:sz="0" w:space="0" w:color="auto"/>
            <w:left w:val="none" w:sz="0" w:space="0" w:color="auto"/>
            <w:bottom w:val="none" w:sz="0" w:space="0" w:color="auto"/>
            <w:right w:val="none" w:sz="0" w:space="0" w:color="auto"/>
          </w:divBdr>
          <w:divsChild>
            <w:div w:id="116797012">
              <w:marLeft w:val="0"/>
              <w:marRight w:val="0"/>
              <w:marTop w:val="0"/>
              <w:marBottom w:val="0"/>
              <w:divBdr>
                <w:top w:val="none" w:sz="0" w:space="0" w:color="auto"/>
                <w:left w:val="none" w:sz="0" w:space="0" w:color="auto"/>
                <w:bottom w:val="none" w:sz="0" w:space="0" w:color="auto"/>
                <w:right w:val="none" w:sz="0" w:space="0" w:color="auto"/>
              </w:divBdr>
              <w:divsChild>
                <w:div w:id="1084188496">
                  <w:marLeft w:val="0"/>
                  <w:marRight w:val="0"/>
                  <w:marTop w:val="0"/>
                  <w:marBottom w:val="0"/>
                  <w:divBdr>
                    <w:top w:val="none" w:sz="0" w:space="0" w:color="auto"/>
                    <w:left w:val="none" w:sz="0" w:space="0" w:color="auto"/>
                    <w:bottom w:val="none" w:sz="0" w:space="0" w:color="auto"/>
                    <w:right w:val="none" w:sz="0" w:space="0" w:color="auto"/>
                  </w:divBdr>
                  <w:divsChild>
                    <w:div w:id="474419066">
                      <w:marLeft w:val="0"/>
                      <w:marRight w:val="0"/>
                      <w:marTop w:val="0"/>
                      <w:marBottom w:val="0"/>
                      <w:divBdr>
                        <w:top w:val="none" w:sz="0" w:space="0" w:color="auto"/>
                        <w:left w:val="none" w:sz="0" w:space="0" w:color="auto"/>
                        <w:bottom w:val="none" w:sz="0" w:space="0" w:color="auto"/>
                        <w:right w:val="none" w:sz="0" w:space="0" w:color="auto"/>
                      </w:divBdr>
                      <w:divsChild>
                        <w:div w:id="52626910">
                          <w:marLeft w:val="0"/>
                          <w:marRight w:val="0"/>
                          <w:marTop w:val="0"/>
                          <w:marBottom w:val="0"/>
                          <w:divBdr>
                            <w:top w:val="none" w:sz="0" w:space="0" w:color="auto"/>
                            <w:left w:val="none" w:sz="0" w:space="0" w:color="auto"/>
                            <w:bottom w:val="none" w:sz="0" w:space="0" w:color="auto"/>
                            <w:right w:val="none" w:sz="0" w:space="0" w:color="auto"/>
                          </w:divBdr>
                          <w:divsChild>
                            <w:div w:id="1016924654">
                              <w:marLeft w:val="0"/>
                              <w:marRight w:val="0"/>
                              <w:marTop w:val="0"/>
                              <w:marBottom w:val="0"/>
                              <w:divBdr>
                                <w:top w:val="none" w:sz="0" w:space="0" w:color="auto"/>
                                <w:left w:val="none" w:sz="0" w:space="0" w:color="auto"/>
                                <w:bottom w:val="none" w:sz="0" w:space="0" w:color="auto"/>
                                <w:right w:val="none" w:sz="0" w:space="0" w:color="auto"/>
                              </w:divBdr>
                              <w:divsChild>
                                <w:div w:id="549224305">
                                  <w:marLeft w:val="0"/>
                                  <w:marRight w:val="0"/>
                                  <w:marTop w:val="0"/>
                                  <w:marBottom w:val="0"/>
                                  <w:divBdr>
                                    <w:top w:val="none" w:sz="0" w:space="0" w:color="auto"/>
                                    <w:left w:val="none" w:sz="0" w:space="0" w:color="auto"/>
                                    <w:bottom w:val="none" w:sz="0" w:space="0" w:color="auto"/>
                                    <w:right w:val="none" w:sz="0" w:space="0" w:color="auto"/>
                                  </w:divBdr>
                                  <w:divsChild>
                                    <w:div w:id="1263416204">
                                      <w:marLeft w:val="0"/>
                                      <w:marRight w:val="0"/>
                                      <w:marTop w:val="0"/>
                                      <w:marBottom w:val="0"/>
                                      <w:divBdr>
                                        <w:top w:val="none" w:sz="0" w:space="0" w:color="auto"/>
                                        <w:left w:val="none" w:sz="0" w:space="0" w:color="auto"/>
                                        <w:bottom w:val="none" w:sz="0" w:space="0" w:color="auto"/>
                                        <w:right w:val="none" w:sz="0" w:space="0" w:color="auto"/>
                                      </w:divBdr>
                                      <w:divsChild>
                                        <w:div w:id="304353486">
                                          <w:marLeft w:val="0"/>
                                          <w:marRight w:val="0"/>
                                          <w:marTop w:val="0"/>
                                          <w:marBottom w:val="0"/>
                                          <w:divBdr>
                                            <w:top w:val="none" w:sz="0" w:space="0" w:color="auto"/>
                                            <w:left w:val="none" w:sz="0" w:space="0" w:color="auto"/>
                                            <w:bottom w:val="none" w:sz="0" w:space="0" w:color="auto"/>
                                            <w:right w:val="none" w:sz="0" w:space="0" w:color="auto"/>
                                          </w:divBdr>
                                          <w:divsChild>
                                            <w:div w:id="921989038">
                                              <w:marLeft w:val="0"/>
                                              <w:marRight w:val="0"/>
                                              <w:marTop w:val="0"/>
                                              <w:marBottom w:val="0"/>
                                              <w:divBdr>
                                                <w:top w:val="none" w:sz="0" w:space="0" w:color="auto"/>
                                                <w:left w:val="none" w:sz="0" w:space="0" w:color="auto"/>
                                                <w:bottom w:val="none" w:sz="0" w:space="0" w:color="auto"/>
                                                <w:right w:val="none" w:sz="0" w:space="0" w:color="auto"/>
                                              </w:divBdr>
                                              <w:divsChild>
                                                <w:div w:id="1096947378">
                                                  <w:marLeft w:val="0"/>
                                                  <w:marRight w:val="0"/>
                                                  <w:marTop w:val="0"/>
                                                  <w:marBottom w:val="0"/>
                                                  <w:divBdr>
                                                    <w:top w:val="none" w:sz="0" w:space="0" w:color="auto"/>
                                                    <w:left w:val="none" w:sz="0" w:space="0" w:color="auto"/>
                                                    <w:bottom w:val="none" w:sz="0" w:space="0" w:color="auto"/>
                                                    <w:right w:val="none" w:sz="0" w:space="0" w:color="auto"/>
                                                  </w:divBdr>
                                                  <w:divsChild>
                                                    <w:div w:id="12065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1437375">
      <w:bodyDiv w:val="1"/>
      <w:marLeft w:val="0"/>
      <w:marRight w:val="0"/>
      <w:marTop w:val="0"/>
      <w:marBottom w:val="0"/>
      <w:divBdr>
        <w:top w:val="none" w:sz="0" w:space="0" w:color="auto"/>
        <w:left w:val="none" w:sz="0" w:space="0" w:color="auto"/>
        <w:bottom w:val="none" w:sz="0" w:space="0" w:color="auto"/>
        <w:right w:val="none" w:sz="0" w:space="0" w:color="auto"/>
      </w:divBdr>
    </w:div>
    <w:div w:id="1587182179">
      <w:bodyDiv w:val="1"/>
      <w:marLeft w:val="0"/>
      <w:marRight w:val="0"/>
      <w:marTop w:val="0"/>
      <w:marBottom w:val="0"/>
      <w:divBdr>
        <w:top w:val="none" w:sz="0" w:space="0" w:color="auto"/>
        <w:left w:val="none" w:sz="0" w:space="0" w:color="auto"/>
        <w:bottom w:val="none" w:sz="0" w:space="0" w:color="auto"/>
        <w:right w:val="none" w:sz="0" w:space="0" w:color="auto"/>
      </w:divBdr>
      <w:divsChild>
        <w:div w:id="1813250808">
          <w:marLeft w:val="0"/>
          <w:marRight w:val="0"/>
          <w:marTop w:val="0"/>
          <w:marBottom w:val="0"/>
          <w:divBdr>
            <w:top w:val="none" w:sz="0" w:space="0" w:color="auto"/>
            <w:left w:val="none" w:sz="0" w:space="0" w:color="auto"/>
            <w:bottom w:val="none" w:sz="0" w:space="0" w:color="auto"/>
            <w:right w:val="none" w:sz="0" w:space="0" w:color="auto"/>
          </w:divBdr>
          <w:divsChild>
            <w:div w:id="511602048">
              <w:marLeft w:val="0"/>
              <w:marRight w:val="0"/>
              <w:marTop w:val="0"/>
              <w:marBottom w:val="0"/>
              <w:divBdr>
                <w:top w:val="none" w:sz="0" w:space="0" w:color="auto"/>
                <w:left w:val="none" w:sz="0" w:space="0" w:color="auto"/>
                <w:bottom w:val="none" w:sz="0" w:space="0" w:color="auto"/>
                <w:right w:val="none" w:sz="0" w:space="0" w:color="auto"/>
              </w:divBdr>
              <w:divsChild>
                <w:div w:id="2032949465">
                  <w:marLeft w:val="0"/>
                  <w:marRight w:val="0"/>
                  <w:marTop w:val="0"/>
                  <w:marBottom w:val="0"/>
                  <w:divBdr>
                    <w:top w:val="none" w:sz="0" w:space="0" w:color="auto"/>
                    <w:left w:val="none" w:sz="0" w:space="0" w:color="auto"/>
                    <w:bottom w:val="none" w:sz="0" w:space="0" w:color="auto"/>
                    <w:right w:val="none" w:sz="0" w:space="0" w:color="auto"/>
                  </w:divBdr>
                  <w:divsChild>
                    <w:div w:id="578253058">
                      <w:marLeft w:val="0"/>
                      <w:marRight w:val="0"/>
                      <w:marTop w:val="0"/>
                      <w:marBottom w:val="0"/>
                      <w:divBdr>
                        <w:top w:val="none" w:sz="0" w:space="0" w:color="auto"/>
                        <w:left w:val="none" w:sz="0" w:space="0" w:color="auto"/>
                        <w:bottom w:val="none" w:sz="0" w:space="0" w:color="auto"/>
                        <w:right w:val="none" w:sz="0" w:space="0" w:color="auto"/>
                      </w:divBdr>
                      <w:divsChild>
                        <w:div w:id="1052119762">
                          <w:marLeft w:val="0"/>
                          <w:marRight w:val="0"/>
                          <w:marTop w:val="0"/>
                          <w:marBottom w:val="0"/>
                          <w:divBdr>
                            <w:top w:val="none" w:sz="0" w:space="0" w:color="auto"/>
                            <w:left w:val="none" w:sz="0" w:space="0" w:color="auto"/>
                            <w:bottom w:val="none" w:sz="0" w:space="0" w:color="auto"/>
                            <w:right w:val="none" w:sz="0" w:space="0" w:color="auto"/>
                          </w:divBdr>
                          <w:divsChild>
                            <w:div w:id="714934317">
                              <w:marLeft w:val="0"/>
                              <w:marRight w:val="0"/>
                              <w:marTop w:val="0"/>
                              <w:marBottom w:val="0"/>
                              <w:divBdr>
                                <w:top w:val="none" w:sz="0" w:space="0" w:color="auto"/>
                                <w:left w:val="none" w:sz="0" w:space="0" w:color="auto"/>
                                <w:bottom w:val="none" w:sz="0" w:space="0" w:color="auto"/>
                                <w:right w:val="none" w:sz="0" w:space="0" w:color="auto"/>
                              </w:divBdr>
                              <w:divsChild>
                                <w:div w:id="210575934">
                                  <w:marLeft w:val="0"/>
                                  <w:marRight w:val="0"/>
                                  <w:marTop w:val="0"/>
                                  <w:marBottom w:val="0"/>
                                  <w:divBdr>
                                    <w:top w:val="none" w:sz="0" w:space="0" w:color="auto"/>
                                    <w:left w:val="none" w:sz="0" w:space="0" w:color="auto"/>
                                    <w:bottom w:val="none" w:sz="0" w:space="0" w:color="auto"/>
                                    <w:right w:val="none" w:sz="0" w:space="0" w:color="auto"/>
                                  </w:divBdr>
                                  <w:divsChild>
                                    <w:div w:id="1912037503">
                                      <w:marLeft w:val="0"/>
                                      <w:marRight w:val="0"/>
                                      <w:marTop w:val="0"/>
                                      <w:marBottom w:val="0"/>
                                      <w:divBdr>
                                        <w:top w:val="none" w:sz="0" w:space="0" w:color="auto"/>
                                        <w:left w:val="none" w:sz="0" w:space="0" w:color="auto"/>
                                        <w:bottom w:val="none" w:sz="0" w:space="0" w:color="auto"/>
                                        <w:right w:val="none" w:sz="0" w:space="0" w:color="auto"/>
                                      </w:divBdr>
                                      <w:divsChild>
                                        <w:div w:id="2024090473">
                                          <w:marLeft w:val="0"/>
                                          <w:marRight w:val="0"/>
                                          <w:marTop w:val="0"/>
                                          <w:marBottom w:val="0"/>
                                          <w:divBdr>
                                            <w:top w:val="none" w:sz="0" w:space="0" w:color="auto"/>
                                            <w:left w:val="none" w:sz="0" w:space="0" w:color="auto"/>
                                            <w:bottom w:val="none" w:sz="0" w:space="0" w:color="auto"/>
                                            <w:right w:val="none" w:sz="0" w:space="0" w:color="auto"/>
                                          </w:divBdr>
                                          <w:divsChild>
                                            <w:div w:id="518086392">
                                              <w:marLeft w:val="0"/>
                                              <w:marRight w:val="0"/>
                                              <w:marTop w:val="0"/>
                                              <w:marBottom w:val="0"/>
                                              <w:divBdr>
                                                <w:top w:val="none" w:sz="0" w:space="0" w:color="auto"/>
                                                <w:left w:val="none" w:sz="0" w:space="0" w:color="auto"/>
                                                <w:bottom w:val="none" w:sz="0" w:space="0" w:color="auto"/>
                                                <w:right w:val="none" w:sz="0" w:space="0" w:color="auto"/>
                                              </w:divBdr>
                                              <w:divsChild>
                                                <w:div w:id="249238290">
                                                  <w:marLeft w:val="0"/>
                                                  <w:marRight w:val="0"/>
                                                  <w:marTop w:val="0"/>
                                                  <w:marBottom w:val="0"/>
                                                  <w:divBdr>
                                                    <w:top w:val="none" w:sz="0" w:space="0" w:color="auto"/>
                                                    <w:left w:val="none" w:sz="0" w:space="0" w:color="auto"/>
                                                    <w:bottom w:val="none" w:sz="0" w:space="0" w:color="auto"/>
                                                    <w:right w:val="none" w:sz="0" w:space="0" w:color="auto"/>
                                                  </w:divBdr>
                                                  <w:divsChild>
                                                    <w:div w:id="1263105900">
                                                      <w:marLeft w:val="0"/>
                                                      <w:marRight w:val="0"/>
                                                      <w:marTop w:val="0"/>
                                                      <w:marBottom w:val="0"/>
                                                      <w:divBdr>
                                                        <w:top w:val="none" w:sz="0" w:space="0" w:color="auto"/>
                                                        <w:left w:val="none" w:sz="0" w:space="0" w:color="auto"/>
                                                        <w:bottom w:val="none" w:sz="0" w:space="0" w:color="auto"/>
                                                        <w:right w:val="none" w:sz="0" w:space="0" w:color="auto"/>
                                                      </w:divBdr>
                                                      <w:divsChild>
                                                        <w:div w:id="770465817">
                                                          <w:marLeft w:val="0"/>
                                                          <w:marRight w:val="0"/>
                                                          <w:marTop w:val="0"/>
                                                          <w:marBottom w:val="0"/>
                                                          <w:divBdr>
                                                            <w:top w:val="none" w:sz="0" w:space="0" w:color="auto"/>
                                                            <w:left w:val="none" w:sz="0" w:space="0" w:color="auto"/>
                                                            <w:bottom w:val="none" w:sz="0" w:space="0" w:color="auto"/>
                                                            <w:right w:val="none" w:sz="0" w:space="0" w:color="auto"/>
                                                          </w:divBdr>
                                                          <w:divsChild>
                                                            <w:div w:id="161743903">
                                                              <w:marLeft w:val="0"/>
                                                              <w:marRight w:val="0"/>
                                                              <w:marTop w:val="0"/>
                                                              <w:marBottom w:val="0"/>
                                                              <w:divBdr>
                                                                <w:top w:val="none" w:sz="0" w:space="0" w:color="auto"/>
                                                                <w:left w:val="none" w:sz="0" w:space="0" w:color="auto"/>
                                                                <w:bottom w:val="none" w:sz="0" w:space="0" w:color="auto"/>
                                                                <w:right w:val="none" w:sz="0" w:space="0" w:color="auto"/>
                                                              </w:divBdr>
                                                              <w:divsChild>
                                                                <w:div w:id="67596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10040496">
      <w:bodyDiv w:val="1"/>
      <w:marLeft w:val="0"/>
      <w:marRight w:val="0"/>
      <w:marTop w:val="0"/>
      <w:marBottom w:val="0"/>
      <w:divBdr>
        <w:top w:val="none" w:sz="0" w:space="0" w:color="auto"/>
        <w:left w:val="none" w:sz="0" w:space="0" w:color="auto"/>
        <w:bottom w:val="none" w:sz="0" w:space="0" w:color="auto"/>
        <w:right w:val="none" w:sz="0" w:space="0" w:color="auto"/>
      </w:divBdr>
      <w:divsChild>
        <w:div w:id="1447234860">
          <w:marLeft w:val="0"/>
          <w:marRight w:val="0"/>
          <w:marTop w:val="0"/>
          <w:marBottom w:val="0"/>
          <w:divBdr>
            <w:top w:val="none" w:sz="0" w:space="0" w:color="auto"/>
            <w:left w:val="none" w:sz="0" w:space="0" w:color="auto"/>
            <w:bottom w:val="none" w:sz="0" w:space="0" w:color="auto"/>
            <w:right w:val="none" w:sz="0" w:space="0" w:color="auto"/>
          </w:divBdr>
          <w:divsChild>
            <w:div w:id="721178295">
              <w:marLeft w:val="0"/>
              <w:marRight w:val="0"/>
              <w:marTop w:val="0"/>
              <w:marBottom w:val="0"/>
              <w:divBdr>
                <w:top w:val="none" w:sz="0" w:space="0" w:color="auto"/>
                <w:left w:val="none" w:sz="0" w:space="0" w:color="auto"/>
                <w:bottom w:val="none" w:sz="0" w:space="0" w:color="auto"/>
                <w:right w:val="none" w:sz="0" w:space="0" w:color="auto"/>
              </w:divBdr>
              <w:divsChild>
                <w:div w:id="1563634665">
                  <w:marLeft w:val="0"/>
                  <w:marRight w:val="0"/>
                  <w:marTop w:val="0"/>
                  <w:marBottom w:val="0"/>
                  <w:divBdr>
                    <w:top w:val="none" w:sz="0" w:space="0" w:color="auto"/>
                    <w:left w:val="none" w:sz="0" w:space="0" w:color="auto"/>
                    <w:bottom w:val="none" w:sz="0" w:space="0" w:color="auto"/>
                    <w:right w:val="none" w:sz="0" w:space="0" w:color="auto"/>
                  </w:divBdr>
                  <w:divsChild>
                    <w:div w:id="545533484">
                      <w:marLeft w:val="0"/>
                      <w:marRight w:val="0"/>
                      <w:marTop w:val="0"/>
                      <w:marBottom w:val="0"/>
                      <w:divBdr>
                        <w:top w:val="none" w:sz="0" w:space="0" w:color="auto"/>
                        <w:left w:val="none" w:sz="0" w:space="0" w:color="auto"/>
                        <w:bottom w:val="none" w:sz="0" w:space="0" w:color="auto"/>
                        <w:right w:val="none" w:sz="0" w:space="0" w:color="auto"/>
                      </w:divBdr>
                      <w:divsChild>
                        <w:div w:id="1516915912">
                          <w:marLeft w:val="0"/>
                          <w:marRight w:val="0"/>
                          <w:marTop w:val="0"/>
                          <w:marBottom w:val="0"/>
                          <w:divBdr>
                            <w:top w:val="none" w:sz="0" w:space="0" w:color="auto"/>
                            <w:left w:val="none" w:sz="0" w:space="0" w:color="auto"/>
                            <w:bottom w:val="none" w:sz="0" w:space="0" w:color="auto"/>
                            <w:right w:val="none" w:sz="0" w:space="0" w:color="auto"/>
                          </w:divBdr>
                          <w:divsChild>
                            <w:div w:id="357580687">
                              <w:marLeft w:val="0"/>
                              <w:marRight w:val="0"/>
                              <w:marTop w:val="0"/>
                              <w:marBottom w:val="0"/>
                              <w:divBdr>
                                <w:top w:val="none" w:sz="0" w:space="0" w:color="auto"/>
                                <w:left w:val="none" w:sz="0" w:space="0" w:color="auto"/>
                                <w:bottom w:val="none" w:sz="0" w:space="0" w:color="auto"/>
                                <w:right w:val="none" w:sz="0" w:space="0" w:color="auto"/>
                              </w:divBdr>
                              <w:divsChild>
                                <w:div w:id="1464232287">
                                  <w:marLeft w:val="0"/>
                                  <w:marRight w:val="0"/>
                                  <w:marTop w:val="0"/>
                                  <w:marBottom w:val="0"/>
                                  <w:divBdr>
                                    <w:top w:val="none" w:sz="0" w:space="0" w:color="auto"/>
                                    <w:left w:val="none" w:sz="0" w:space="0" w:color="auto"/>
                                    <w:bottom w:val="none" w:sz="0" w:space="0" w:color="auto"/>
                                    <w:right w:val="none" w:sz="0" w:space="0" w:color="auto"/>
                                  </w:divBdr>
                                  <w:divsChild>
                                    <w:div w:id="1059474796">
                                      <w:marLeft w:val="0"/>
                                      <w:marRight w:val="0"/>
                                      <w:marTop w:val="0"/>
                                      <w:marBottom w:val="0"/>
                                      <w:divBdr>
                                        <w:top w:val="none" w:sz="0" w:space="0" w:color="auto"/>
                                        <w:left w:val="none" w:sz="0" w:space="0" w:color="auto"/>
                                        <w:bottom w:val="none" w:sz="0" w:space="0" w:color="auto"/>
                                        <w:right w:val="none" w:sz="0" w:space="0" w:color="auto"/>
                                      </w:divBdr>
                                      <w:divsChild>
                                        <w:div w:id="750859479">
                                          <w:marLeft w:val="0"/>
                                          <w:marRight w:val="0"/>
                                          <w:marTop w:val="0"/>
                                          <w:marBottom w:val="0"/>
                                          <w:divBdr>
                                            <w:top w:val="none" w:sz="0" w:space="0" w:color="auto"/>
                                            <w:left w:val="none" w:sz="0" w:space="0" w:color="auto"/>
                                            <w:bottom w:val="none" w:sz="0" w:space="0" w:color="auto"/>
                                            <w:right w:val="none" w:sz="0" w:space="0" w:color="auto"/>
                                          </w:divBdr>
                                          <w:divsChild>
                                            <w:div w:id="1699432407">
                                              <w:marLeft w:val="0"/>
                                              <w:marRight w:val="0"/>
                                              <w:marTop w:val="0"/>
                                              <w:marBottom w:val="0"/>
                                              <w:divBdr>
                                                <w:top w:val="none" w:sz="0" w:space="0" w:color="auto"/>
                                                <w:left w:val="none" w:sz="0" w:space="0" w:color="auto"/>
                                                <w:bottom w:val="none" w:sz="0" w:space="0" w:color="auto"/>
                                                <w:right w:val="none" w:sz="0" w:space="0" w:color="auto"/>
                                              </w:divBdr>
                                              <w:divsChild>
                                                <w:div w:id="567612050">
                                                  <w:marLeft w:val="0"/>
                                                  <w:marRight w:val="0"/>
                                                  <w:marTop w:val="0"/>
                                                  <w:marBottom w:val="0"/>
                                                  <w:divBdr>
                                                    <w:top w:val="none" w:sz="0" w:space="0" w:color="auto"/>
                                                    <w:left w:val="none" w:sz="0" w:space="0" w:color="auto"/>
                                                    <w:bottom w:val="none" w:sz="0" w:space="0" w:color="auto"/>
                                                    <w:right w:val="none" w:sz="0" w:space="0" w:color="auto"/>
                                                  </w:divBdr>
                                                  <w:divsChild>
                                                    <w:div w:id="205530739">
                                                      <w:marLeft w:val="0"/>
                                                      <w:marRight w:val="0"/>
                                                      <w:marTop w:val="0"/>
                                                      <w:marBottom w:val="0"/>
                                                      <w:divBdr>
                                                        <w:top w:val="none" w:sz="0" w:space="0" w:color="auto"/>
                                                        <w:left w:val="none" w:sz="0" w:space="0" w:color="auto"/>
                                                        <w:bottom w:val="none" w:sz="0" w:space="0" w:color="auto"/>
                                                        <w:right w:val="none" w:sz="0" w:space="0" w:color="auto"/>
                                                      </w:divBdr>
                                                      <w:divsChild>
                                                        <w:div w:id="882594642">
                                                          <w:marLeft w:val="0"/>
                                                          <w:marRight w:val="0"/>
                                                          <w:marTop w:val="0"/>
                                                          <w:marBottom w:val="0"/>
                                                          <w:divBdr>
                                                            <w:top w:val="none" w:sz="0" w:space="0" w:color="auto"/>
                                                            <w:left w:val="none" w:sz="0" w:space="0" w:color="auto"/>
                                                            <w:bottom w:val="none" w:sz="0" w:space="0" w:color="auto"/>
                                                            <w:right w:val="none" w:sz="0" w:space="0" w:color="auto"/>
                                                          </w:divBdr>
                                                          <w:divsChild>
                                                            <w:div w:id="1506169182">
                                                              <w:marLeft w:val="0"/>
                                                              <w:marRight w:val="0"/>
                                                              <w:marTop w:val="0"/>
                                                              <w:marBottom w:val="0"/>
                                                              <w:divBdr>
                                                                <w:top w:val="none" w:sz="0" w:space="0" w:color="auto"/>
                                                                <w:left w:val="none" w:sz="0" w:space="0" w:color="auto"/>
                                                                <w:bottom w:val="none" w:sz="0" w:space="0" w:color="auto"/>
                                                                <w:right w:val="none" w:sz="0" w:space="0" w:color="auto"/>
                                                              </w:divBdr>
                                                              <w:divsChild>
                                                                <w:div w:id="17133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17968110">
      <w:bodyDiv w:val="1"/>
      <w:marLeft w:val="0"/>
      <w:marRight w:val="0"/>
      <w:marTop w:val="0"/>
      <w:marBottom w:val="0"/>
      <w:divBdr>
        <w:top w:val="none" w:sz="0" w:space="0" w:color="auto"/>
        <w:left w:val="none" w:sz="0" w:space="0" w:color="auto"/>
        <w:bottom w:val="none" w:sz="0" w:space="0" w:color="auto"/>
        <w:right w:val="none" w:sz="0" w:space="0" w:color="auto"/>
      </w:divBdr>
      <w:divsChild>
        <w:div w:id="2142111664">
          <w:marLeft w:val="0"/>
          <w:marRight w:val="0"/>
          <w:marTop w:val="0"/>
          <w:marBottom w:val="0"/>
          <w:divBdr>
            <w:top w:val="none" w:sz="0" w:space="0" w:color="auto"/>
            <w:left w:val="none" w:sz="0" w:space="0" w:color="auto"/>
            <w:bottom w:val="none" w:sz="0" w:space="0" w:color="auto"/>
            <w:right w:val="none" w:sz="0" w:space="0" w:color="auto"/>
          </w:divBdr>
          <w:divsChild>
            <w:div w:id="950479818">
              <w:marLeft w:val="0"/>
              <w:marRight w:val="0"/>
              <w:marTop w:val="0"/>
              <w:marBottom w:val="0"/>
              <w:divBdr>
                <w:top w:val="none" w:sz="0" w:space="0" w:color="auto"/>
                <w:left w:val="none" w:sz="0" w:space="0" w:color="auto"/>
                <w:bottom w:val="none" w:sz="0" w:space="0" w:color="auto"/>
                <w:right w:val="none" w:sz="0" w:space="0" w:color="auto"/>
              </w:divBdr>
              <w:divsChild>
                <w:div w:id="2034845639">
                  <w:marLeft w:val="0"/>
                  <w:marRight w:val="0"/>
                  <w:marTop w:val="0"/>
                  <w:marBottom w:val="0"/>
                  <w:divBdr>
                    <w:top w:val="none" w:sz="0" w:space="0" w:color="auto"/>
                    <w:left w:val="none" w:sz="0" w:space="0" w:color="auto"/>
                    <w:bottom w:val="none" w:sz="0" w:space="0" w:color="auto"/>
                    <w:right w:val="none" w:sz="0" w:space="0" w:color="auto"/>
                  </w:divBdr>
                  <w:divsChild>
                    <w:div w:id="1035157975">
                      <w:marLeft w:val="0"/>
                      <w:marRight w:val="0"/>
                      <w:marTop w:val="0"/>
                      <w:marBottom w:val="0"/>
                      <w:divBdr>
                        <w:top w:val="none" w:sz="0" w:space="0" w:color="auto"/>
                        <w:left w:val="none" w:sz="0" w:space="0" w:color="auto"/>
                        <w:bottom w:val="none" w:sz="0" w:space="0" w:color="auto"/>
                        <w:right w:val="none" w:sz="0" w:space="0" w:color="auto"/>
                      </w:divBdr>
                      <w:divsChild>
                        <w:div w:id="2132746407">
                          <w:marLeft w:val="0"/>
                          <w:marRight w:val="0"/>
                          <w:marTop w:val="0"/>
                          <w:marBottom w:val="0"/>
                          <w:divBdr>
                            <w:top w:val="none" w:sz="0" w:space="0" w:color="auto"/>
                            <w:left w:val="none" w:sz="0" w:space="0" w:color="auto"/>
                            <w:bottom w:val="none" w:sz="0" w:space="0" w:color="auto"/>
                            <w:right w:val="none" w:sz="0" w:space="0" w:color="auto"/>
                          </w:divBdr>
                          <w:divsChild>
                            <w:div w:id="1973826213">
                              <w:marLeft w:val="0"/>
                              <w:marRight w:val="0"/>
                              <w:marTop w:val="0"/>
                              <w:marBottom w:val="0"/>
                              <w:divBdr>
                                <w:top w:val="none" w:sz="0" w:space="0" w:color="auto"/>
                                <w:left w:val="none" w:sz="0" w:space="0" w:color="auto"/>
                                <w:bottom w:val="none" w:sz="0" w:space="0" w:color="auto"/>
                                <w:right w:val="none" w:sz="0" w:space="0" w:color="auto"/>
                              </w:divBdr>
                              <w:divsChild>
                                <w:div w:id="159574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022749">
      <w:bodyDiv w:val="1"/>
      <w:marLeft w:val="0"/>
      <w:marRight w:val="0"/>
      <w:marTop w:val="0"/>
      <w:marBottom w:val="0"/>
      <w:divBdr>
        <w:top w:val="none" w:sz="0" w:space="0" w:color="auto"/>
        <w:left w:val="none" w:sz="0" w:space="0" w:color="auto"/>
        <w:bottom w:val="none" w:sz="0" w:space="0" w:color="auto"/>
        <w:right w:val="none" w:sz="0" w:space="0" w:color="auto"/>
      </w:divBdr>
      <w:divsChild>
        <w:div w:id="458185323">
          <w:marLeft w:val="0"/>
          <w:marRight w:val="0"/>
          <w:marTop w:val="0"/>
          <w:marBottom w:val="0"/>
          <w:divBdr>
            <w:top w:val="none" w:sz="0" w:space="0" w:color="auto"/>
            <w:left w:val="none" w:sz="0" w:space="0" w:color="auto"/>
            <w:bottom w:val="none" w:sz="0" w:space="0" w:color="auto"/>
            <w:right w:val="none" w:sz="0" w:space="0" w:color="auto"/>
          </w:divBdr>
          <w:divsChild>
            <w:div w:id="23792458">
              <w:marLeft w:val="0"/>
              <w:marRight w:val="0"/>
              <w:marTop w:val="0"/>
              <w:marBottom w:val="0"/>
              <w:divBdr>
                <w:top w:val="none" w:sz="0" w:space="0" w:color="auto"/>
                <w:left w:val="none" w:sz="0" w:space="0" w:color="auto"/>
                <w:bottom w:val="none" w:sz="0" w:space="0" w:color="auto"/>
                <w:right w:val="none" w:sz="0" w:space="0" w:color="auto"/>
              </w:divBdr>
              <w:divsChild>
                <w:div w:id="1358385615">
                  <w:marLeft w:val="0"/>
                  <w:marRight w:val="0"/>
                  <w:marTop w:val="0"/>
                  <w:marBottom w:val="0"/>
                  <w:divBdr>
                    <w:top w:val="none" w:sz="0" w:space="0" w:color="auto"/>
                    <w:left w:val="none" w:sz="0" w:space="0" w:color="auto"/>
                    <w:bottom w:val="none" w:sz="0" w:space="0" w:color="auto"/>
                    <w:right w:val="none" w:sz="0" w:space="0" w:color="auto"/>
                  </w:divBdr>
                  <w:divsChild>
                    <w:div w:id="178786497">
                      <w:marLeft w:val="0"/>
                      <w:marRight w:val="0"/>
                      <w:marTop w:val="0"/>
                      <w:marBottom w:val="0"/>
                      <w:divBdr>
                        <w:top w:val="none" w:sz="0" w:space="0" w:color="auto"/>
                        <w:left w:val="none" w:sz="0" w:space="0" w:color="auto"/>
                        <w:bottom w:val="none" w:sz="0" w:space="0" w:color="auto"/>
                        <w:right w:val="none" w:sz="0" w:space="0" w:color="auto"/>
                      </w:divBdr>
                      <w:divsChild>
                        <w:div w:id="1375618974">
                          <w:marLeft w:val="0"/>
                          <w:marRight w:val="0"/>
                          <w:marTop w:val="0"/>
                          <w:marBottom w:val="0"/>
                          <w:divBdr>
                            <w:top w:val="none" w:sz="0" w:space="0" w:color="auto"/>
                            <w:left w:val="none" w:sz="0" w:space="0" w:color="auto"/>
                            <w:bottom w:val="none" w:sz="0" w:space="0" w:color="auto"/>
                            <w:right w:val="none" w:sz="0" w:space="0" w:color="auto"/>
                          </w:divBdr>
                          <w:divsChild>
                            <w:div w:id="1968461952">
                              <w:marLeft w:val="0"/>
                              <w:marRight w:val="0"/>
                              <w:marTop w:val="0"/>
                              <w:marBottom w:val="0"/>
                              <w:divBdr>
                                <w:top w:val="none" w:sz="0" w:space="0" w:color="auto"/>
                                <w:left w:val="none" w:sz="0" w:space="0" w:color="auto"/>
                                <w:bottom w:val="none" w:sz="0" w:space="0" w:color="auto"/>
                                <w:right w:val="none" w:sz="0" w:space="0" w:color="auto"/>
                              </w:divBdr>
                              <w:divsChild>
                                <w:div w:id="483469501">
                                  <w:marLeft w:val="0"/>
                                  <w:marRight w:val="0"/>
                                  <w:marTop w:val="0"/>
                                  <w:marBottom w:val="0"/>
                                  <w:divBdr>
                                    <w:top w:val="none" w:sz="0" w:space="0" w:color="auto"/>
                                    <w:left w:val="none" w:sz="0" w:space="0" w:color="auto"/>
                                    <w:bottom w:val="none" w:sz="0" w:space="0" w:color="auto"/>
                                    <w:right w:val="none" w:sz="0" w:space="0" w:color="auto"/>
                                  </w:divBdr>
                                  <w:divsChild>
                                    <w:div w:id="1291283891">
                                      <w:marLeft w:val="0"/>
                                      <w:marRight w:val="0"/>
                                      <w:marTop w:val="0"/>
                                      <w:marBottom w:val="0"/>
                                      <w:divBdr>
                                        <w:top w:val="none" w:sz="0" w:space="0" w:color="auto"/>
                                        <w:left w:val="none" w:sz="0" w:space="0" w:color="auto"/>
                                        <w:bottom w:val="none" w:sz="0" w:space="0" w:color="auto"/>
                                        <w:right w:val="none" w:sz="0" w:space="0" w:color="auto"/>
                                      </w:divBdr>
                                      <w:divsChild>
                                        <w:div w:id="1439643580">
                                          <w:marLeft w:val="0"/>
                                          <w:marRight w:val="0"/>
                                          <w:marTop w:val="0"/>
                                          <w:marBottom w:val="0"/>
                                          <w:divBdr>
                                            <w:top w:val="none" w:sz="0" w:space="0" w:color="auto"/>
                                            <w:left w:val="none" w:sz="0" w:space="0" w:color="auto"/>
                                            <w:bottom w:val="none" w:sz="0" w:space="0" w:color="auto"/>
                                            <w:right w:val="none" w:sz="0" w:space="0" w:color="auto"/>
                                          </w:divBdr>
                                          <w:divsChild>
                                            <w:div w:id="1771924089">
                                              <w:marLeft w:val="0"/>
                                              <w:marRight w:val="0"/>
                                              <w:marTop w:val="0"/>
                                              <w:marBottom w:val="0"/>
                                              <w:divBdr>
                                                <w:top w:val="none" w:sz="0" w:space="0" w:color="auto"/>
                                                <w:left w:val="none" w:sz="0" w:space="0" w:color="auto"/>
                                                <w:bottom w:val="none" w:sz="0" w:space="0" w:color="auto"/>
                                                <w:right w:val="none" w:sz="0" w:space="0" w:color="auto"/>
                                              </w:divBdr>
                                              <w:divsChild>
                                                <w:div w:id="2030715918">
                                                  <w:marLeft w:val="0"/>
                                                  <w:marRight w:val="0"/>
                                                  <w:marTop w:val="0"/>
                                                  <w:marBottom w:val="0"/>
                                                  <w:divBdr>
                                                    <w:top w:val="none" w:sz="0" w:space="0" w:color="auto"/>
                                                    <w:left w:val="none" w:sz="0" w:space="0" w:color="auto"/>
                                                    <w:bottom w:val="none" w:sz="0" w:space="0" w:color="auto"/>
                                                    <w:right w:val="none" w:sz="0" w:space="0" w:color="auto"/>
                                                  </w:divBdr>
                                                  <w:divsChild>
                                                    <w:div w:id="172071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ck-online.cz/bo/document-view.seam?documentId=onrf6mrqgazf6mjvgaxhazrwha" TargetMode="External"/><Relationship Id="rId3" Type="http://schemas.openxmlformats.org/officeDocument/2006/relationships/settings" Target="settings.xml"/><Relationship Id="rId7" Type="http://schemas.openxmlformats.org/officeDocument/2006/relationships/hyperlink" Target="https://www.beck-online.cz/bo/document-view.seam?documentId=onrf6mrqga4v6mrygaxhazrrgu2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3731</Words>
  <Characters>22013</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Mandlová Jana</dc:creator>
  <cp:keywords/>
  <dc:description/>
  <cp:lastModifiedBy>Kvapilová Martina</cp:lastModifiedBy>
  <cp:revision>2</cp:revision>
  <dcterms:created xsi:type="dcterms:W3CDTF">2021-08-26T06:37:00Z</dcterms:created>
  <dcterms:modified xsi:type="dcterms:W3CDTF">2021-08-26T06:37:00Z</dcterms:modified>
</cp:coreProperties>
</file>