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F97E9DE" w14:textId="77777777" w:rsidR="00ED42C8" w:rsidRPr="00ED42C8" w:rsidRDefault="00ED42C8" w:rsidP="00ED42C8">
      <w:pPr>
        <w:keepNext/>
        <w:spacing w:after="0" w:line="276" w:lineRule="auto"/>
        <w:ind w:right="-778"/>
        <w:outlineLvl w:val="2"/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</w:pPr>
      <w:r w:rsidRPr="00ED42C8">
        <w:rPr>
          <w:rFonts w:ascii="Calibri" w:eastAsia="Arial Unicode MS" w:hAnsi="Calibri" w:cs="Times New Roman"/>
          <w:b/>
          <w:bCs/>
          <w:sz w:val="28"/>
          <w:szCs w:val="24"/>
          <w:highlight w:val="yellow"/>
        </w:rPr>
        <w:t>Obecní úřad/Městský úřad/Úřad městské části města/Úřad městského obvodu XXXX</w:t>
      </w:r>
    </w:p>
    <w:p w14:paraId="51F39029" w14:textId="77777777" w:rsidR="00ED42C8" w:rsidRPr="00ED42C8" w:rsidRDefault="00ED42C8" w:rsidP="00ED42C8">
      <w:pPr>
        <w:keepNext/>
        <w:spacing w:after="0" w:line="276" w:lineRule="auto"/>
        <w:outlineLvl w:val="5"/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</w:pPr>
      <w:r w:rsidRPr="00ED42C8">
        <w:rPr>
          <w:rFonts w:ascii="Calibri" w:eastAsia="Arial Unicode MS" w:hAnsi="Calibri" w:cs="Times New Roman"/>
          <w:b/>
          <w:bCs/>
          <w:sz w:val="24"/>
          <w:szCs w:val="24"/>
          <w:highlight w:val="yellow"/>
        </w:rPr>
        <w:t>ulice č. p./č. o.</w:t>
      </w:r>
    </w:p>
    <w:p w14:paraId="07EE5CAD" w14:textId="77777777" w:rsidR="00ED42C8" w:rsidRPr="00ED42C8" w:rsidRDefault="00ED42C8" w:rsidP="00ED42C8">
      <w:pPr>
        <w:spacing w:after="0" w:line="276" w:lineRule="auto"/>
        <w:rPr>
          <w:rFonts w:ascii="Calibri" w:eastAsia="Times New Roman" w:hAnsi="Calibri" w:cs="Times New Roman"/>
          <w:b/>
          <w:bCs/>
          <w:sz w:val="24"/>
          <w:szCs w:val="24"/>
          <w:highlight w:val="yellow"/>
        </w:rPr>
      </w:pPr>
      <w:r w:rsidRPr="00ED42C8">
        <w:rPr>
          <w:rFonts w:ascii="Calibri" w:eastAsia="Times New Roman" w:hAnsi="Calibri" w:cs="Times New Roman"/>
          <w:b/>
          <w:bCs/>
          <w:sz w:val="24"/>
          <w:szCs w:val="24"/>
          <w:highlight w:val="yellow"/>
        </w:rPr>
        <w:t>PSČ obec</w:t>
      </w:r>
    </w:p>
    <w:p w14:paraId="5E65FBEA" w14:textId="77777777" w:rsidR="00ED42C8" w:rsidRPr="00ED42C8" w:rsidRDefault="00ED42C8" w:rsidP="00ED42C8">
      <w:pPr>
        <w:spacing w:after="0" w:line="240" w:lineRule="auto"/>
        <w:ind w:left="708" w:firstLine="708"/>
        <w:jc w:val="right"/>
        <w:rPr>
          <w:rFonts w:ascii="Calibri" w:eastAsia="Times New Roman" w:hAnsi="Calibri" w:cs="Times New Roman"/>
          <w:sz w:val="18"/>
          <w:szCs w:val="18"/>
          <w:highlight w:val="yellow"/>
          <w:lang w:eastAsia="cs-CZ"/>
        </w:rPr>
      </w:pPr>
    </w:p>
    <w:p w14:paraId="097E1A26" w14:textId="77777777" w:rsidR="00ED42C8" w:rsidRPr="00ED42C8" w:rsidRDefault="00ED42C8" w:rsidP="00ED42C8">
      <w:pPr>
        <w:spacing w:after="0" w:line="240" w:lineRule="auto"/>
        <w:ind w:left="708" w:firstLine="708"/>
        <w:jc w:val="right"/>
        <w:outlineLvl w:val="0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V 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doplňte obec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dne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DD. MM. RRRR</w:t>
      </w:r>
    </w:p>
    <w:p w14:paraId="45BDEAFD" w14:textId="77777777" w:rsidR="00ED42C8" w:rsidRPr="00ED42C8" w:rsidRDefault="00ED42C8" w:rsidP="00ED42C8">
      <w:pPr>
        <w:spacing w:after="0" w:line="240" w:lineRule="auto"/>
        <w:outlineLvl w:val="0"/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Č. j.:</w:t>
      </w:r>
      <w:r w:rsidRPr="00ED42C8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 xml:space="preserve">        </w:t>
      </w:r>
      <w:r w:rsidRPr="00ED42C8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ab/>
        <w:t xml:space="preserve">     </w:t>
      </w:r>
      <w:r w:rsidRPr="00ED42C8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ab/>
      </w:r>
    </w:p>
    <w:p w14:paraId="21ECB4D1" w14:textId="77777777" w:rsidR="00ED42C8" w:rsidRPr="00ED42C8" w:rsidRDefault="00ED42C8" w:rsidP="00ED42C8">
      <w:pPr>
        <w:spacing w:after="0" w:line="240" w:lineRule="auto"/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</w:pPr>
      <w:r w:rsidRPr="00ED42C8">
        <w:rPr>
          <w:rFonts w:ascii="Calibri" w:eastAsia="Arial Unicode MS" w:hAnsi="Calibri" w:cs="Times New Roman"/>
          <w:sz w:val="24"/>
          <w:szCs w:val="24"/>
          <w:highlight w:val="yellow"/>
          <w:lang w:eastAsia="cs-CZ"/>
        </w:rPr>
        <w:t>Ev. č.:</w:t>
      </w:r>
    </w:p>
    <w:p w14:paraId="10E185A7" w14:textId="77777777" w:rsidR="00ED42C8" w:rsidRPr="00ED42C8" w:rsidRDefault="00ED42C8" w:rsidP="00ED42C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Arial Unicode MS" w:hAnsi="Calibri" w:cs="Times New Roman"/>
          <w:sz w:val="24"/>
          <w:szCs w:val="24"/>
          <w:lang w:eastAsia="cs-CZ"/>
        </w:rPr>
        <w:t>V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yřizuje: 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doplňte referenta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ab/>
      </w:r>
    </w:p>
    <w:p w14:paraId="36D11556" w14:textId="77777777" w:rsidR="00ED42C8" w:rsidRPr="00ED42C8" w:rsidRDefault="00ED42C8" w:rsidP="00ED42C8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0E2C4A87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Vysvětlivky ke vzoru (odmažte)</w:t>
      </w:r>
    </w:p>
    <w:p w14:paraId="5433DF0E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Modře </w:t>
      </w: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>– vždy vymažte, vysvětlení a pokyny pro správní orgán</w:t>
      </w:r>
    </w:p>
    <w:p w14:paraId="6500F6E6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yellow"/>
          <w:lang w:eastAsia="cs-CZ"/>
        </w:rPr>
        <w:t xml:space="preserve">Žlutě </w:t>
      </w: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>– vždy doplní správní orgán, případně překontroluje jejich správnost, pokud jsou doplněny ze systému</w:t>
      </w:r>
    </w:p>
    <w:p w14:paraId="710CB516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green"/>
          <w:lang w:eastAsia="cs-CZ"/>
        </w:rPr>
        <w:t>Zeleně</w:t>
      </w: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 xml:space="preserve"> – variantní výběr, vyberte jednu z variant, zbylé vymažte</w:t>
      </w:r>
    </w:p>
    <w:p w14:paraId="0F8BFD8A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>Celému textu je však nutné věnovat pozornost, aby text odpovídal skutkovému stavu.</w:t>
      </w:r>
    </w:p>
    <w:p w14:paraId="088A4405" w14:textId="77777777" w:rsidR="00ED42C8" w:rsidRPr="00ED42C8" w:rsidRDefault="00ED42C8" w:rsidP="00ED42C8">
      <w:pPr>
        <w:keepNext/>
        <w:keepLines/>
        <w:spacing w:before="200" w:after="0" w:line="240" w:lineRule="auto"/>
        <w:jc w:val="center"/>
        <w:outlineLvl w:val="3"/>
        <w:rPr>
          <w:rFonts w:ascii="Calibri" w:eastAsia="Times New Roman" w:hAnsi="Calibri" w:cs="Times New Roman"/>
          <w:b/>
          <w:bCs/>
          <w:iCs/>
          <w:sz w:val="28"/>
          <w:szCs w:val="28"/>
          <w:lang w:eastAsia="cs-CZ"/>
        </w:rPr>
      </w:pPr>
    </w:p>
    <w:p w14:paraId="3B601FBA" w14:textId="77777777" w:rsidR="00ED42C8" w:rsidRPr="00ED42C8" w:rsidRDefault="00ED42C8" w:rsidP="00ED42C8">
      <w:pPr>
        <w:keepNext/>
        <w:keepLines/>
        <w:spacing w:before="200" w:after="0" w:line="240" w:lineRule="auto"/>
        <w:jc w:val="center"/>
        <w:outlineLvl w:val="3"/>
        <w:rPr>
          <w:rFonts w:ascii="Calibri" w:eastAsia="Times New Roman" w:hAnsi="Calibri" w:cs="Times New Roman"/>
          <w:b/>
          <w:bCs/>
          <w:iCs/>
          <w:sz w:val="36"/>
          <w:szCs w:val="36"/>
          <w:lang w:eastAsia="cs-CZ"/>
        </w:rPr>
      </w:pPr>
      <w:r w:rsidRPr="00ED42C8">
        <w:rPr>
          <w:rFonts w:ascii="Calibri" w:eastAsia="Times New Roman" w:hAnsi="Calibri" w:cs="Times New Roman"/>
          <w:b/>
          <w:bCs/>
          <w:iCs/>
          <w:sz w:val="36"/>
          <w:szCs w:val="36"/>
          <w:lang w:eastAsia="cs-CZ"/>
        </w:rPr>
        <w:t>ROZHODNUTÍ</w:t>
      </w:r>
    </w:p>
    <w:p w14:paraId="71ADE6FA" w14:textId="77777777" w:rsidR="00ED42C8" w:rsidRPr="00ED42C8" w:rsidRDefault="00ED42C8" w:rsidP="00ED42C8">
      <w:pPr>
        <w:spacing w:after="0" w:line="240" w:lineRule="auto"/>
        <w:rPr>
          <w:rFonts w:ascii="Calibri" w:eastAsia="Times New Roman" w:hAnsi="Calibri" w:cs="Times New Roman"/>
          <w:b/>
          <w:bCs/>
          <w:sz w:val="24"/>
          <w:szCs w:val="24"/>
          <w:u w:val="single"/>
          <w:lang w:eastAsia="cs-CZ"/>
        </w:rPr>
      </w:pPr>
    </w:p>
    <w:p w14:paraId="3782FECE" w14:textId="4BCE8E55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Obecní úřad /Městský úřad/Úřad městské části města/Úřad městského obvodu 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„správní orgán“) jako věcně příslušný správní úřad podle § 10 zákona č. 500/2004 Sb., správní řád, ve znění pozdějších předpisů (dále též „správní řád“) a podle </w:t>
      </w:r>
      <w:r w:rsidR="00600DAC" w:rsidRPr="00600DAC">
        <w:rPr>
          <w:rFonts w:ascii="Calibri" w:eastAsia="Times New Roman" w:hAnsi="Calibri" w:cs="Times New Roman"/>
          <w:sz w:val="24"/>
          <w:szCs w:val="24"/>
          <w:lang w:eastAsia="cs-CZ"/>
        </w:rPr>
        <w:t>§ 115</w:t>
      </w:r>
      <w:r w:rsidR="00C74D09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C74D09">
        <w:t>písm. a)</w:t>
      </w:r>
      <w:r w:rsidR="00600DAC" w:rsidRPr="00600DAC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 souvislosti s 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§ 104b odst. 2 zákona č. 186/2016 Sb., o hazardních hrách, ve znění pozdějších předpisů (dále též „zákon“) projednal podání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obchodní společnosti XXXXXXXX, IČ: XXXXX, se sídlem XXXX, PSČ, obec, právně zastoupené XXXXXX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„provozovatel“), a to žádost ve věci povolení k umístění herního prostoru podle § 68 zákona,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ze dne XX. XX. 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doručenou dne XX. XX. 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, a rozhodl tak, že podle ustanovení § 104c zákona</w:t>
      </w:r>
    </w:p>
    <w:p w14:paraId="3775F396" w14:textId="77777777" w:rsidR="00ED42C8" w:rsidRPr="00ED42C8" w:rsidRDefault="00ED42C8" w:rsidP="00ED42C8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430E97A9" w14:textId="77777777" w:rsidR="00ED42C8" w:rsidRPr="00ED42C8" w:rsidRDefault="00ED42C8" w:rsidP="00ED42C8">
      <w:pPr>
        <w:numPr>
          <w:ilvl w:val="0"/>
          <w:numId w:val="1"/>
        </w:numPr>
        <w:spacing w:after="0" w:line="240" w:lineRule="auto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14:paraId="21DD03E4" w14:textId="77777777" w:rsidR="00ED42C8" w:rsidRP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uděluje povolení k umístění KASINA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s názvem 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v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 xml:space="preserve">X.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podzemním/nadzemním podlaží nebo v patře/v přízemí nebo označení nebytové jednotky nebo případně jiná specifikace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 budově na adrese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,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č. p./ č. o.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 xml:space="preserve"> XXX/XX, obec, 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PSČ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 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/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 budově na parcele p. č. XXX, k. ú. XXX, obec XXX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(dále jen „kasino“);</w:t>
      </w:r>
    </w:p>
    <w:p w14:paraId="36EAFEF8" w14:textId="77777777" w:rsidR="00ED42C8" w:rsidRPr="00ED42C8" w:rsidRDefault="00ED42C8" w:rsidP="00ED42C8">
      <w:pPr>
        <w:numPr>
          <w:ilvl w:val="0"/>
          <w:numId w:val="1"/>
        </w:numPr>
        <w:spacing w:after="120" w:line="240" w:lineRule="auto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70445252" w14:textId="77777777" w:rsidR="00ED42C8" w:rsidRP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povoluje v kasinu provozování </w:t>
      </w: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(správní orgán vybere pouze ten druh hazardní hry, o jehož umístění provozovatel žádá, vždy však živou hru)</w:t>
      </w:r>
    </w:p>
    <w:p w14:paraId="08171904" w14:textId="77777777" w:rsidR="00ED42C8" w:rsidRPr="00ED42C8" w:rsidRDefault="00ED42C8" w:rsidP="00ED42C8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živé hry, 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jejíž provozování bylo povoleno základním povolením vydaným Ministerstvem financí ve správním řízení vedeném pod sp. zn. 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MF-XXX/20XX/XXXX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 xml:space="preserve">(správní orgán vybere správné </w:t>
      </w:r>
      <w:bookmarkStart w:id="0" w:name="_GoBack"/>
      <w:bookmarkEnd w:id="0"/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základní povolení 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na těchto hracích stolech živé hry, provozovaných po celou provozní dobu uvedenou ve výroku III. tohoto rozhodnutí (dále jen „započitatelné hrací stoly živé hry“)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(tyto hrací stoly se započítávají do zákonného limitu § 68a zákona – do tabulky se vygenerují výrobní čísla všech hracích stolů živé hry, nezapočitatelné hrací stoly živé hry je nutné přesunout do další tabulky)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42"/>
        <w:gridCol w:w="4520"/>
      </w:tblGrid>
      <w:tr w:rsidR="00ED42C8" w:rsidRPr="00ED42C8" w14:paraId="221EE114" w14:textId="77777777" w:rsidTr="00D47A94">
        <w:tc>
          <w:tcPr>
            <w:tcW w:w="2506" w:type="pct"/>
            <w:vAlign w:val="center"/>
          </w:tcPr>
          <w:p w14:paraId="7927606D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lastRenderedPageBreak/>
              <w:t>Příslušná hazardní hra</w:t>
            </w:r>
          </w:p>
        </w:tc>
        <w:tc>
          <w:tcPr>
            <w:tcW w:w="2494" w:type="pct"/>
            <w:vAlign w:val="center"/>
          </w:tcPr>
          <w:p w14:paraId="76AB3BB7" w14:textId="77777777" w:rsidR="00ED42C8" w:rsidRPr="00ED42C8" w:rsidRDefault="00ED42C8" w:rsidP="00ED42C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Evidenční číslo hracího stolu živé hry</w:t>
            </w:r>
          </w:p>
        </w:tc>
      </w:tr>
      <w:tr w:rsidR="00ED42C8" w:rsidRPr="00ED42C8" w14:paraId="3D623682" w14:textId="77777777" w:rsidTr="00D47A94">
        <w:tc>
          <w:tcPr>
            <w:tcW w:w="2506" w:type="pct"/>
          </w:tcPr>
          <w:p w14:paraId="15AD910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3EA0E44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0F7BFA71" w14:textId="77777777" w:rsidTr="00D47A94">
        <w:tc>
          <w:tcPr>
            <w:tcW w:w="2506" w:type="pct"/>
          </w:tcPr>
          <w:p w14:paraId="7BD1F45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409782A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05DF395C" w14:textId="77777777" w:rsidTr="00D47A94">
        <w:tc>
          <w:tcPr>
            <w:tcW w:w="2506" w:type="pct"/>
          </w:tcPr>
          <w:p w14:paraId="22437641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111C4DBE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</w:tbl>
    <w:p w14:paraId="5FA82EE6" w14:textId="77777777" w:rsidR="00ED42C8" w:rsidRPr="00ED42C8" w:rsidRDefault="00ED42C8" w:rsidP="00ED42C8">
      <w:pPr>
        <w:spacing w:after="120" w:line="240" w:lineRule="auto"/>
        <w:ind w:left="720"/>
        <w:contextualSpacing/>
        <w:jc w:val="both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14:paraId="521C1B66" w14:textId="77777777" w:rsidR="00ED42C8" w:rsidRPr="00ED42C8" w:rsidRDefault="00ED42C8" w:rsidP="00ED42C8">
      <w:pPr>
        <w:spacing w:after="120" w:line="240" w:lineRule="auto"/>
        <w:ind w:left="72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a na těchto dalších hracích stolech živé hry 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provozovaných v rámci provozní doby uvedené ve výroku III. tohoto rozhodnutí (dále jen „nezapočitatelné hrací stoly živé hry“)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(tyto hrací stoly se nezapočítávají do zákonného limitu § 68a zákona)</w:t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42"/>
        <w:gridCol w:w="4520"/>
      </w:tblGrid>
      <w:tr w:rsidR="00ED42C8" w:rsidRPr="00ED42C8" w14:paraId="1B56EEB7" w14:textId="77777777" w:rsidTr="00D47A94">
        <w:tc>
          <w:tcPr>
            <w:tcW w:w="2506" w:type="pct"/>
            <w:vAlign w:val="center"/>
          </w:tcPr>
          <w:p w14:paraId="1B53FCD6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Příslušná hazardní hra</w:t>
            </w:r>
          </w:p>
        </w:tc>
        <w:tc>
          <w:tcPr>
            <w:tcW w:w="2494" w:type="pct"/>
            <w:vAlign w:val="center"/>
          </w:tcPr>
          <w:p w14:paraId="00175CFC" w14:textId="77777777" w:rsidR="00ED42C8" w:rsidRPr="00ED42C8" w:rsidRDefault="00ED42C8" w:rsidP="00ED42C8">
            <w:pPr>
              <w:spacing w:after="120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Evidenční číslo hracího stolu živé hry</w:t>
            </w:r>
          </w:p>
        </w:tc>
      </w:tr>
      <w:tr w:rsidR="00ED42C8" w:rsidRPr="00ED42C8" w14:paraId="2ABA62E3" w14:textId="77777777" w:rsidTr="00D47A94">
        <w:tc>
          <w:tcPr>
            <w:tcW w:w="2506" w:type="pct"/>
          </w:tcPr>
          <w:p w14:paraId="71109AA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250ACF2B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642C9949" w14:textId="77777777" w:rsidTr="00D47A94">
        <w:tc>
          <w:tcPr>
            <w:tcW w:w="2506" w:type="pct"/>
          </w:tcPr>
          <w:p w14:paraId="4B707621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3470BDC2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2C4308EE" w14:textId="77777777" w:rsidTr="00D47A94">
        <w:tc>
          <w:tcPr>
            <w:tcW w:w="2506" w:type="pct"/>
          </w:tcPr>
          <w:p w14:paraId="1E016F3F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2494" w:type="pct"/>
          </w:tcPr>
          <w:p w14:paraId="381582A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</w:tbl>
    <w:p w14:paraId="22BA6363" w14:textId="77777777" w:rsidR="00ED42C8" w:rsidRP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63838708" w14:textId="77777777" w:rsidR="00ED42C8" w:rsidRPr="00ED42C8" w:rsidRDefault="00ED42C8" w:rsidP="00ED42C8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technické hry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jejíž provozování bylo povoleno základním povolením vydaným Ministerstvem financí ve správním řízení vedeném pod sp. zn.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MF-XXX/20XX/XXXX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vybere správné základní povolení 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a těchto 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koncových zařízení technické hry</w:t>
      </w:r>
    </w:p>
    <w:p w14:paraId="47E03557" w14:textId="77777777" w:rsidR="00ED42C8" w:rsidRPr="00ED42C8" w:rsidRDefault="00ED42C8" w:rsidP="00ED42C8">
      <w:pPr>
        <w:spacing w:after="120" w:line="240" w:lineRule="auto"/>
        <w:ind w:left="72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2456"/>
        <w:gridCol w:w="1660"/>
        <w:gridCol w:w="2075"/>
        <w:gridCol w:w="1385"/>
        <w:gridCol w:w="1486"/>
      </w:tblGrid>
      <w:tr w:rsidR="00ED42C8" w:rsidRPr="00ED42C8" w14:paraId="0AE5955B" w14:textId="77777777" w:rsidTr="00D47A94">
        <w:tc>
          <w:tcPr>
            <w:tcW w:w="1355" w:type="pct"/>
            <w:vAlign w:val="center"/>
          </w:tcPr>
          <w:p w14:paraId="7F6B38F9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</w:p>
          <w:p w14:paraId="4F7597A6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Příslušná hazardní hra</w:t>
            </w:r>
          </w:p>
        </w:tc>
        <w:tc>
          <w:tcPr>
            <w:tcW w:w="916" w:type="pct"/>
            <w:vAlign w:val="center"/>
          </w:tcPr>
          <w:p w14:paraId="6D47AA6C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Typ koncového zařízení technické hry</w:t>
            </w:r>
          </w:p>
        </w:tc>
        <w:tc>
          <w:tcPr>
            <w:tcW w:w="1145" w:type="pct"/>
            <w:vAlign w:val="center"/>
          </w:tcPr>
          <w:p w14:paraId="7161D962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Výrobní číslo koncového zařízení technické hry</w:t>
            </w:r>
          </w:p>
        </w:tc>
        <w:tc>
          <w:tcPr>
            <w:tcW w:w="764" w:type="pct"/>
            <w:vAlign w:val="center"/>
          </w:tcPr>
          <w:p w14:paraId="51DD7106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Počet herních pozic koncového zařízení technické hry</w:t>
            </w:r>
          </w:p>
        </w:tc>
        <w:tc>
          <w:tcPr>
            <w:tcW w:w="820" w:type="pct"/>
            <w:vAlign w:val="center"/>
          </w:tcPr>
          <w:p w14:paraId="3745C6BA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Výrobní čísla herních pozic</w:t>
            </w:r>
          </w:p>
        </w:tc>
      </w:tr>
      <w:tr w:rsidR="00ED42C8" w:rsidRPr="00ED42C8" w14:paraId="1B49CC47" w14:textId="77777777" w:rsidTr="00D47A94">
        <w:tc>
          <w:tcPr>
            <w:tcW w:w="1355" w:type="pct"/>
          </w:tcPr>
          <w:p w14:paraId="249F77FC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14CAD3AB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442707C9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28627A7F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650210C2" w14:textId="77777777" w:rsidR="00ED42C8" w:rsidRPr="00ED42C8" w:rsidRDefault="00ED42C8" w:rsidP="00ED42C8">
            <w:pPr>
              <w:spacing w:after="120"/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0FF9BD77" w14:textId="77777777" w:rsidTr="00D47A94">
        <w:tc>
          <w:tcPr>
            <w:tcW w:w="1355" w:type="pct"/>
          </w:tcPr>
          <w:p w14:paraId="792E858C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08C6503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3AFEEC8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60C4952A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709B46D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724D4FED" w14:textId="77777777" w:rsidTr="00D47A94">
        <w:tc>
          <w:tcPr>
            <w:tcW w:w="1355" w:type="pct"/>
          </w:tcPr>
          <w:p w14:paraId="7AE62E6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6B8F441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723501F2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76989307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564D65F5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3D2195E6" w14:textId="77777777" w:rsidTr="00D47A94">
        <w:tc>
          <w:tcPr>
            <w:tcW w:w="1355" w:type="pct"/>
          </w:tcPr>
          <w:p w14:paraId="1B0034D4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71F77B0F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3E38EAAE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288FF55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35C40C8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6BD04E66" w14:textId="77777777" w:rsidTr="00D47A94">
        <w:tc>
          <w:tcPr>
            <w:tcW w:w="1355" w:type="pct"/>
          </w:tcPr>
          <w:p w14:paraId="4C805FE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73EB5E4E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278DC42F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04ABFDA5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552E49C1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6E92010C" w14:textId="77777777" w:rsidTr="00D47A94">
        <w:tc>
          <w:tcPr>
            <w:tcW w:w="1355" w:type="pct"/>
          </w:tcPr>
          <w:p w14:paraId="315C7E5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4468916C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7A9FBBB1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5CF05EE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0C748EAC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42EEAA25" w14:textId="77777777" w:rsidTr="00D47A94">
        <w:tc>
          <w:tcPr>
            <w:tcW w:w="1355" w:type="pct"/>
          </w:tcPr>
          <w:p w14:paraId="723F1BC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7A1962DA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3AF2430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7B012FF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7798FB5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68F3E147" w14:textId="77777777" w:rsidTr="00D47A94">
        <w:tc>
          <w:tcPr>
            <w:tcW w:w="1355" w:type="pct"/>
          </w:tcPr>
          <w:p w14:paraId="5902252E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42594A7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7689F777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25E77A55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3C4CCA2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3B1A339E" w14:textId="77777777" w:rsidTr="00D47A94">
        <w:tc>
          <w:tcPr>
            <w:tcW w:w="1355" w:type="pct"/>
          </w:tcPr>
          <w:p w14:paraId="6F1659F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4785B477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6F69165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2D8BE586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6AF1035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7050F972" w14:textId="77777777" w:rsidTr="00D47A94">
        <w:tc>
          <w:tcPr>
            <w:tcW w:w="1355" w:type="pct"/>
          </w:tcPr>
          <w:p w14:paraId="773AF68F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2C11B4B3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3E4E0E78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538DEA75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066874AE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50C3B92C" w14:textId="77777777" w:rsidTr="00D47A94">
        <w:tc>
          <w:tcPr>
            <w:tcW w:w="1355" w:type="pct"/>
          </w:tcPr>
          <w:p w14:paraId="6D7E7A21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916" w:type="pct"/>
          </w:tcPr>
          <w:p w14:paraId="28203D99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1145" w:type="pct"/>
          </w:tcPr>
          <w:p w14:paraId="77E7E8ED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764" w:type="pct"/>
          </w:tcPr>
          <w:p w14:paraId="16DFBDD7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820" w:type="pct"/>
          </w:tcPr>
          <w:p w14:paraId="2082B0C2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4613E216" w14:textId="77777777" w:rsidTr="00D47A94">
        <w:tc>
          <w:tcPr>
            <w:tcW w:w="3416" w:type="pct"/>
            <w:gridSpan w:val="3"/>
          </w:tcPr>
          <w:p w14:paraId="7FA3BDBF" w14:textId="77777777" w:rsidR="00ED42C8" w:rsidRPr="00ED42C8" w:rsidRDefault="00ED42C8" w:rsidP="00ED42C8">
            <w:pPr>
              <w:spacing w:after="120"/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  <w:t xml:space="preserve">Celkový počet koncových zařízení technické hry provozovaných v kasinu dle zákona: </w:t>
            </w:r>
          </w:p>
        </w:tc>
        <w:tc>
          <w:tcPr>
            <w:tcW w:w="1584" w:type="pct"/>
            <w:gridSpan w:val="2"/>
          </w:tcPr>
          <w:p w14:paraId="47B356C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  <w:tr w:rsidR="00ED42C8" w:rsidRPr="00ED42C8" w14:paraId="370653B7" w14:textId="77777777" w:rsidTr="00D47A94">
        <w:tc>
          <w:tcPr>
            <w:tcW w:w="3416" w:type="pct"/>
            <w:gridSpan w:val="3"/>
          </w:tcPr>
          <w:p w14:paraId="03D533C6" w14:textId="77777777" w:rsidR="00ED42C8" w:rsidRPr="00ED42C8" w:rsidRDefault="00ED42C8" w:rsidP="00ED42C8">
            <w:pPr>
              <w:spacing w:after="120"/>
              <w:rPr>
                <w:rFonts w:ascii="Calibri" w:eastAsia="Times New Roman" w:hAnsi="Calibri" w:cs="Times New Roman"/>
                <w:b/>
                <w:sz w:val="24"/>
                <w:szCs w:val="24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  <w:t>Celkový počet herních pozic provozovaných v kasinu dle zákona:</w:t>
            </w:r>
          </w:p>
        </w:tc>
        <w:tc>
          <w:tcPr>
            <w:tcW w:w="1584" w:type="pct"/>
            <w:gridSpan w:val="2"/>
          </w:tcPr>
          <w:p w14:paraId="252FD4E0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</w:tbl>
    <w:p w14:paraId="08C6721E" w14:textId="77777777" w:rsidR="00ED42C8" w:rsidRP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4014AC2F" w14:textId="77777777" w:rsidR="00ED42C8" w:rsidRPr="00ED42C8" w:rsidRDefault="00ED42C8" w:rsidP="00ED42C8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lastRenderedPageBreak/>
        <w:t>binga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jehož provozování bylo povoleno základním povolením vydaným Ministerstvem financí ve správním řízení vedeném pod sp. zn.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MF-XXX/20XX/XXXX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vybere správné základní povolení 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pomocí těchto zařízení vytvářejících náhodný proces výsledku hazardní hry binga </w:t>
      </w: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6191"/>
        <w:gridCol w:w="2871"/>
      </w:tblGrid>
      <w:tr w:rsidR="00ED42C8" w:rsidRPr="00ED42C8" w14:paraId="4D1F7B2E" w14:textId="77777777" w:rsidTr="00D47A94">
        <w:tc>
          <w:tcPr>
            <w:tcW w:w="5000" w:type="pct"/>
            <w:gridSpan w:val="2"/>
          </w:tcPr>
          <w:p w14:paraId="741E6542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magenta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0"/>
                <w:lang w:eastAsia="cs-CZ"/>
              </w:rPr>
              <w:t>Výrobní číslo zařízení vytvářející náhodný proces výsledku hry bingo</w:t>
            </w:r>
          </w:p>
        </w:tc>
      </w:tr>
      <w:tr w:rsidR="00ED42C8" w:rsidRPr="00ED42C8" w14:paraId="6EA41BEE" w14:textId="77777777" w:rsidTr="00D47A94">
        <w:tc>
          <w:tcPr>
            <w:tcW w:w="5000" w:type="pct"/>
            <w:gridSpan w:val="2"/>
          </w:tcPr>
          <w:p w14:paraId="4BC56442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magenta"/>
                <w:lang w:eastAsia="cs-CZ"/>
              </w:rPr>
            </w:pPr>
          </w:p>
        </w:tc>
      </w:tr>
      <w:tr w:rsidR="00ED42C8" w:rsidRPr="00ED42C8" w14:paraId="5CDEAE49" w14:textId="77777777" w:rsidTr="00D47A94">
        <w:tc>
          <w:tcPr>
            <w:tcW w:w="5000" w:type="pct"/>
            <w:gridSpan w:val="2"/>
          </w:tcPr>
          <w:p w14:paraId="28D05F24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highlight w:val="magenta"/>
                <w:lang w:eastAsia="cs-CZ"/>
              </w:rPr>
            </w:pPr>
          </w:p>
        </w:tc>
      </w:tr>
      <w:tr w:rsidR="00ED42C8" w:rsidRPr="00ED42C8" w14:paraId="269D8811" w14:textId="77777777" w:rsidTr="00D47A94">
        <w:tc>
          <w:tcPr>
            <w:tcW w:w="3416" w:type="pct"/>
          </w:tcPr>
          <w:p w14:paraId="65D107ED" w14:textId="77777777" w:rsidR="00ED42C8" w:rsidRPr="00ED42C8" w:rsidRDefault="00ED42C8" w:rsidP="00ED42C8">
            <w:pPr>
              <w:spacing w:after="120"/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</w:pPr>
            <w:r w:rsidRPr="00ED42C8">
              <w:rPr>
                <w:rFonts w:ascii="Calibri" w:eastAsia="Times New Roman" w:hAnsi="Calibri" w:cs="Times New Roman"/>
                <w:b/>
                <w:sz w:val="20"/>
                <w:szCs w:val="24"/>
                <w:lang w:eastAsia="cs-CZ"/>
              </w:rPr>
              <w:t>Celkový počet zařízení vytvářejících náhodný proces výsledku hry bingo:</w:t>
            </w:r>
          </w:p>
        </w:tc>
        <w:tc>
          <w:tcPr>
            <w:tcW w:w="1584" w:type="pct"/>
          </w:tcPr>
          <w:p w14:paraId="1F29EE09" w14:textId="77777777" w:rsidR="00ED42C8" w:rsidRPr="00ED42C8" w:rsidRDefault="00ED42C8" w:rsidP="00ED42C8">
            <w:pPr>
              <w:spacing w:after="120"/>
              <w:jc w:val="both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</w:tr>
    </w:tbl>
    <w:p w14:paraId="0479C1E1" w14:textId="77777777" w:rsidR="00ED42C8" w:rsidRPr="00ED42C8" w:rsidRDefault="00ED42C8" w:rsidP="00ED42C8">
      <w:pPr>
        <w:spacing w:after="120" w:line="240" w:lineRule="auto"/>
        <w:ind w:left="720"/>
        <w:contextualSpacing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4E0F9613" w14:textId="77777777" w:rsidR="00ED42C8" w:rsidRPr="00ED42C8" w:rsidRDefault="00ED42C8" w:rsidP="00ED42C8">
      <w:pPr>
        <w:spacing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III.</w:t>
      </w:r>
    </w:p>
    <w:p w14:paraId="46FD3FBA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stanovuje provozní dobu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kasina ve dnech </w:t>
      </w:r>
      <w:r w:rsidRPr="00AB4A4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XXXXXXX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od </w:t>
      </w:r>
      <w:r w:rsidRPr="00AB4A4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XX:XX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do </w:t>
      </w:r>
      <w:r w:rsidRPr="00AB4A4B">
        <w:rPr>
          <w:rFonts w:ascii="Calibri" w:eastAsia="Times New Roman" w:hAnsi="Calibri" w:cs="Times New Roman"/>
          <w:b/>
          <w:sz w:val="24"/>
          <w:szCs w:val="24"/>
          <w:highlight w:val="yellow"/>
          <w:lang w:eastAsia="cs-CZ"/>
        </w:rPr>
        <w:t>XX:XX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;</w:t>
      </w:r>
    </w:p>
    <w:p w14:paraId="7C82A0D4" w14:textId="77777777" w:rsidR="00ED42C8" w:rsidRPr="00ED42C8" w:rsidRDefault="00ED42C8" w:rsidP="00ED42C8">
      <w:pPr>
        <w:spacing w:before="360"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IV.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(</w:t>
      </w:r>
      <w:r w:rsidRPr="00ED42C8">
        <w:rPr>
          <w:rFonts w:ascii="Calibri" w:eastAsia="Times New Roman" w:hAnsi="Calibri" w:cs="Times New Roman"/>
          <w:b/>
          <w:i/>
          <w:sz w:val="24"/>
          <w:szCs w:val="24"/>
          <w:highlight w:val="cyan"/>
          <w:lang w:eastAsia="cs-CZ"/>
        </w:rPr>
        <w:t>pouze v případě, že je odložená účinnost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)</w:t>
      </w:r>
    </w:p>
    <w:p w14:paraId="3A60D230" w14:textId="77777777" w:rsidR="00ED42C8" w:rsidRPr="00ED42C8" w:rsidRDefault="00ED42C8" w:rsidP="00ED42C8">
      <w:pPr>
        <w:spacing w:before="36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rozhodnutí je účinné ode dne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XX. XX. XXXX, nabyde-li toto rozhodnutí právní moci později, pak je toto rozhodnutí účinné ode dne nabytí právní moci tohoto rozhodnutí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;</w:t>
      </w:r>
    </w:p>
    <w:p w14:paraId="2F6C47F1" w14:textId="77777777" w:rsidR="00ED42C8" w:rsidRPr="00ED42C8" w:rsidRDefault="00ED42C8" w:rsidP="00ED42C8">
      <w:pPr>
        <w:spacing w:before="360" w:after="12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V. / IV.</w:t>
      </w:r>
    </w:p>
    <w:p w14:paraId="6810AD7C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doba právních účinků tohoto rozhodnutí je stanovena na dobu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green"/>
          <w:lang w:eastAsia="cs-CZ"/>
        </w:rPr>
        <w:t>X let ode dne účinnosti tohoto rozhodnutí/ X let ode dne právní moci tohoto rozhodnutí/ do XX. XX. XXXX</w:t>
      </w: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b/>
          <w:sz w:val="24"/>
          <w:szCs w:val="24"/>
          <w:highlight w:val="cyan"/>
          <w:lang w:eastAsia="cs-CZ"/>
        </w:rPr>
        <w:t>(Správní orgán vybere jednu možnost. Správní orgán uvede fixní datum (do XX) pouze tehdy, pokud žadatel požaduje dobu kratší než 3 roky, případně pokud zakracuje platnost povolení.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(max. 3 roky)</w:t>
      </w: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 xml:space="preserve"> </w:t>
      </w:r>
    </w:p>
    <w:p w14:paraId="62DC4C15" w14:textId="77777777" w:rsidR="00ED42C8" w:rsidRPr="00ED42C8" w:rsidRDefault="00ED42C8" w:rsidP="00ED42C8">
      <w:pPr>
        <w:spacing w:before="120" w:after="120" w:line="240" w:lineRule="auto"/>
        <w:ind w:left="360"/>
        <w:contextualSpacing/>
        <w:jc w:val="center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14:paraId="385F99E5" w14:textId="77777777" w:rsidR="00ED42C8" w:rsidRPr="00ED42C8" w:rsidRDefault="00ED42C8" w:rsidP="00ED42C8">
      <w:pPr>
        <w:spacing w:before="120" w:after="120" w:line="240" w:lineRule="auto"/>
        <w:ind w:left="360"/>
        <w:contextualSpacing/>
        <w:jc w:val="center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lang w:eastAsia="cs-CZ"/>
        </w:rPr>
        <w:t>Odůvodnění</w:t>
      </w:r>
    </w:p>
    <w:p w14:paraId="469FBEFB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Popis procesního stavu, kdy byla žádost doručena, zda byly doloženy všechny přílohy stanovené zákonem. Uvést, zda byl provozovatel vyzván k doplnění žádosti, případně výzvu více specifikovat, shrnout co doplnil, jak se ve věci vyjádřil.</w:t>
      </w:r>
      <w:r w:rsidRPr="00ED42C8">
        <w:rPr>
          <w:rFonts w:ascii="Calibri" w:eastAsia="Times New Roman" w:hAnsi="Calibri" w:cs="Times New Roman"/>
          <w:i/>
          <w:sz w:val="24"/>
          <w:szCs w:val="24"/>
          <w:lang w:eastAsia="cs-CZ"/>
        </w:rPr>
        <w:t xml:space="preserve"> </w:t>
      </w:r>
    </w:p>
    <w:p w14:paraId="796E8663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Dne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XX. XX. 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byla správnímu orgánu doručena žádost o vydání povolení k umístění herního prostoru na shora uvedené adrese (dále jen „žádost“). Společně s žádostí byly žadatelem doloženy všechny potřebné doklady a dokumenty vyžadované zákonem. 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br/>
        <w:t>Správní orgán žádost posoudil a dospěl k závěru, že žádost nevykazovala žádné vady či nedostatky, všechny zákonem požadované doklady byly ze strany žadatele v souladu s § 104d zákona doloženy.</w:t>
      </w:r>
    </w:p>
    <w:p w14:paraId="202670B0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Uvést, na základě kterých základních povolení se provozovateli povoluje provozování příslušných druhů hazardních her, o jejichž provozování v herním prostoru žádá.</w:t>
      </w:r>
    </w:p>
    <w:p w14:paraId="7DBDD8FD" w14:textId="10E4EC8B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Žadatel je držitelem základního povolení k provozování živé hry, vydaného v rámci správního řízení sp. zn.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MF-XXXX/20XX/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XXXX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vybere správné základní povolení 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, tudíž je podmínka § 104c odst. 1 písm. a) zákona splněna.</w:t>
      </w:r>
    </w:p>
    <w:p w14:paraId="773A65EE" w14:textId="4C2C8491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Žadatel je držitelem základního povolení k provozování technické hry, vydaného v rámci správního řízení sp. zn.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MF-XXXX/20XX/XXXX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 xml:space="preserve">(správní orgán vybere správné základní povolení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lastRenderedPageBreak/>
        <w:t>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tudíž je podmínka § 104c odst. 1 písm. a) zákona splněna. </w:t>
      </w:r>
    </w:p>
    <w:p w14:paraId="16655DC4" w14:textId="4E372CB8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Žadatel je držitelem základního povolení k provozování binga, vydaného v rámci správního řízení sp. zn.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MF-XXXX/20XX/XXXX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sz w:val="24"/>
          <w:szCs w:val="24"/>
          <w:highlight w:val="cyan"/>
          <w:lang w:eastAsia="cs-CZ"/>
        </w:rPr>
        <w:t>(správní orgán vybere správné základní povolení a následně vymaže pomlčku, číslo/čísla za ní a druh hazardní hry)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, tudíž je podmínka § 104c odst. 1 a) zákona splněna.</w:t>
      </w:r>
    </w:p>
    <w:p w14:paraId="49CAD6E2" w14:textId="35BB6084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Shrnout posouzení s obecně závaznou vyhláškou obce, reguluje-li obec provozování na svém </w:t>
      </w:r>
      <w:r w:rsidRPr="00B97B5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území</w:t>
      </w:r>
      <w:r w:rsidR="00B97B52" w:rsidRPr="00AB4A4B">
        <w:rPr>
          <w:highlight w:val="cyan"/>
        </w:rPr>
        <w:t xml:space="preserve"> a </w:t>
      </w:r>
      <w:r w:rsidR="00B97B52" w:rsidRPr="00AB4A4B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konstatovat, že herna nebude umístěna v prostorech, ve kterých nelze provozovat hazardní hry dle § 13 odst. 1 zákona</w:t>
      </w:r>
      <w:r w:rsidR="00B97B5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.</w:t>
      </w:r>
    </w:p>
    <w:p w14:paraId="05A27C2A" w14:textId="4C1F871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Správní orgán v souladu s ustanovením § 104c odst. 1 písm. b) zákona posoudil soulad s 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obecně závaznou vyhláškou č. XXX/XXX, regulující provozování hazardních her na území města XXX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(dále jen „OZV“) a neshledal, že by provozování hazardních her bylo v rozporu s regulací v této OZV obsaženou.</w:t>
      </w:r>
      <w:r w:rsidR="00B97B52" w:rsidRPr="00B97B52">
        <w:t xml:space="preserve"> </w:t>
      </w:r>
      <w:r w:rsidR="00B97B52">
        <w:t xml:space="preserve"> </w:t>
      </w:r>
      <w:r w:rsidR="00B97B52" w:rsidRPr="00B97B52">
        <w:rPr>
          <w:rFonts w:ascii="Calibri" w:eastAsia="Times New Roman" w:hAnsi="Calibri" w:cs="Times New Roman"/>
          <w:sz w:val="24"/>
          <w:szCs w:val="24"/>
          <w:lang w:eastAsia="cs-CZ"/>
        </w:rPr>
        <w:t>Zároveň není umístění herního prostoru v rozporu s § 13 odst. 1</w:t>
      </w:r>
      <w:r w:rsidR="00AB600E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="00B97B52" w:rsidRPr="00B97B52">
        <w:rPr>
          <w:rFonts w:ascii="Calibri" w:eastAsia="Times New Roman" w:hAnsi="Calibri" w:cs="Times New Roman"/>
          <w:sz w:val="24"/>
          <w:szCs w:val="24"/>
          <w:lang w:eastAsia="cs-CZ"/>
        </w:rPr>
        <w:t>zákona.</w:t>
      </w:r>
    </w:p>
    <w:p w14:paraId="4582057D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Shrnout posouzení skutečnosti, že v posledních 3 letech nedošlo u provozovatele ke zrušení PUHP stejného druhu na stejném místě. </w:t>
      </w:r>
    </w:p>
    <w:p w14:paraId="28196906" w14:textId="7072815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žádost posoudil v souladu s § 104c odst. 1 písm. c) zákona a shledal, že v posledních 3 letech přede dnem podání žádosti nebylo provozovateli zrušeno povolení k umístění herního prostoru stejného druhu na daném místě podle § 104f odst. 3 písm. d) zákona. </w:t>
      </w:r>
    </w:p>
    <w:p w14:paraId="71DED222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Vyjádření se ke splnění minimálního počtu stanoveného pro započitatelné hrací stoly živé hry a pro herní pozice koncových zařízení technické hry. </w:t>
      </w:r>
    </w:p>
    <w:p w14:paraId="0C306315" w14:textId="77777777" w:rsidR="00ED42C8" w:rsidRP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posoudil podmínku § 68a odst. 1 zákona vztahující se k minimálnímu počtu započitatelných hracích stolů živé hry, kdy na základě tohoto povolení povoluje provozování živé hry u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započitatelných hracích stolů živé hry.</w:t>
      </w:r>
    </w:p>
    <w:p w14:paraId="3755D281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Následující odstavec neuvádět, pokud v kasinu není provozována technická hra.</w:t>
      </w:r>
    </w:p>
    <w:p w14:paraId="72796957" w14:textId="77777777" w:rsidR="00ED42C8" w:rsidRDefault="00ED42C8" w:rsidP="00ED42C8">
      <w:pPr>
        <w:spacing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Správní orgán posoudil podmínku § 68b zákona vztahující se k minimálnímu a maximálnímu počtu herních pozic technické hry, které budou v kasinu provozovány, a dospěl k závěru, že tato zákonná podmínka byla splněna. Technickou hru se povoluje provozovat prostřednictvím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(doplnit počet)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výše uvedených koncových zařízení technické hry o celkovém počtu </w:t>
      </w:r>
      <w:r w:rsidRPr="00ED42C8">
        <w:rPr>
          <w:rFonts w:ascii="Calibri" w:eastAsia="Times New Roman" w:hAnsi="Calibri" w:cs="Times New Roman"/>
          <w:sz w:val="24"/>
          <w:szCs w:val="24"/>
          <w:highlight w:val="yellow"/>
          <w:lang w:eastAsia="cs-CZ"/>
        </w:rPr>
        <w:t>XX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</w:t>
      </w: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(doplnit počet)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 herních pozic.</w:t>
      </w:r>
    </w:p>
    <w:p w14:paraId="36CB1D93" w14:textId="77777777" w:rsidR="00600DAC" w:rsidRPr="00600DAC" w:rsidRDefault="00600DAC" w:rsidP="00600DAC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600DAC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Vyjádření se k délce právních účinků rozhodnutí.</w:t>
      </w:r>
    </w:p>
    <w:p w14:paraId="293A6AB1" w14:textId="40B831A3" w:rsidR="00600DAC" w:rsidRPr="00600DAC" w:rsidRDefault="00600DAC" w:rsidP="00600DAC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600DAC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Správní orgán vydá povolení k umístění herního prostoru na dobu, kterou provozovatel uvede v žádosti, pokud je v souladu s platnou obecně závaznou vyhláškou a maximální tříletou dobou, na kterou lze podle zákona povolení vydat</w:t>
      </w:r>
      <w:r w:rsidR="00415436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,</w:t>
      </w:r>
      <w:r w:rsidRPr="00600DAC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a nepřekračuje dobu, na kterou bylo vydáno základní povolení. Jinak správní orgán uvědomí provozovatele o zakrácení povolení v rámci vyjádření se k podkladům pro vydání rozhodnutí (a tuto skutečnost uvede v odůvodnění). Ministerstvo financí dlouhodobě upozorňuje na skutečnost, že k vydání obecně závazné vyhlášky regulující hazardní hry bez přechodného období pro již vydaná povolení k umístění herního prostoru by měla obec přistoupit pouze v případě naléhavého zájmu na dodržování veřejného pořádku</w:t>
      </w:r>
      <w:r w:rsidR="00E8593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.</w:t>
      </w:r>
      <w:r w:rsidR="00E85932" w:rsidRPr="00E8593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 </w:t>
      </w:r>
      <w:r w:rsidR="00E8593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Nelze přitom stanovit účinnost povolení k umístění herního prostoru na den předcházející účinnosti základního povolení. Pouze je přípustné, aby s odloženou účinností </w:t>
      </w:r>
      <w:r w:rsidR="00E85932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lastRenderedPageBreak/>
        <w:t>bylo vydáno povolení k umístění herního prostoru, pokud již provozovatel disponuje pravomocným (ne však ještě účinným) základním povolením.</w:t>
      </w:r>
    </w:p>
    <w:p w14:paraId="411BDD6B" w14:textId="77777777" w:rsidR="00600DAC" w:rsidRPr="00600DAC" w:rsidRDefault="00600DAC" w:rsidP="00600DAC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Správní orgán stano</w:t>
      </w:r>
      <w:r w:rsidR="008338F3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vil dobu právních účinků kratší, než jakou provozovatel žádal ve své žádosti</w:t>
      </w:r>
      <w:r w:rsidR="005E5540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,</w:t>
      </w: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s ohledem na § 104c odst. 3 zákona, podle kterého lze povolení k umístění herního prostoru vydat na dobu trvání právních účinků základního povolení</w:t>
      </w:r>
      <w:r w:rsidR="00415436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,</w:t>
      </w: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nejdéle však na dobu 3 let. / Správní orgán stanovil dobu právních účinků podle žádosti provozovatele. Přitom posoudil podmínku § 104c odst. 3 zákona, podle které lze povolení k umístění herního prostoru vydat na dobu trvání právních účinků základního povolení, nejdéle však na dobu 3 let. </w:t>
      </w:r>
    </w:p>
    <w:p w14:paraId="650A38E5" w14:textId="77777777" w:rsidR="00600DAC" w:rsidRPr="00600DAC" w:rsidRDefault="00600DAC" w:rsidP="00600DAC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</w:pP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/</w:t>
      </w:r>
    </w:p>
    <w:p w14:paraId="5435A007" w14:textId="73D8DB31" w:rsidR="00600DAC" w:rsidRPr="00600DAC" w:rsidRDefault="00600DAC" w:rsidP="00600DA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cs-CZ"/>
        </w:rPr>
      </w:pP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Správnímu orgánu je z vlastní úřední činnosti známa obecně závazná vyhláška č. XX/20XX vyhlášená dne XX. XX. 20XX s účinností ke dn</w:t>
      </w:r>
      <w:r w:rsidR="00C152B4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i</w:t>
      </w: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XX. XX. 20XX. Správní orgán přistoupil z hlediska procesní ekonomie k zakrácení požadované délky právních účinků z doby do XX. XX. 20XX </w:t>
      </w:r>
      <w:r w:rsidRPr="00600DAC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(žadatelem žádaná doba, maximálně 3 roky od nabytí účinnosti/právní moci rozhodnutí)</w:t>
      </w: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 xml:space="preserve"> na dobu do XX. XX. 20XX </w:t>
      </w:r>
      <w:r w:rsidRPr="00600DAC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(den předcházející dni účinnosti obecně závazné vyhlášky)</w:t>
      </w:r>
      <w:r w:rsidRPr="00600DAC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.</w:t>
      </w:r>
    </w:p>
    <w:p w14:paraId="14FF69D8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Závěrečné shrnutí.</w:t>
      </w:r>
    </w:p>
    <w:p w14:paraId="258C493B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 xml:space="preserve">V případě zániku základního povolení k provozování technické hry, na jehož základě bylo provozovateli provozování technické hry povoleno, a to byť jen v části týkající se provozování typu koncového zařízení technické hry uvedeného ve výroku II., zaniká povolení k umístění kasina v části písm. b) výroku II. týkajícího se provozování konkrétních koncových zařízení technické hry daného typu. </w:t>
      </w:r>
    </w:p>
    <w:p w14:paraId="11E21409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i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i/>
          <w:sz w:val="24"/>
          <w:szCs w:val="24"/>
          <w:highlight w:val="cyan"/>
          <w:lang w:eastAsia="cs-CZ"/>
        </w:rPr>
        <w:t>V případě zániku základního povolení k provozování binga, na jehož základě bylo provozovateli provozování binga povoleno, a to byť jen v části týkající se provozování binga pomocí generátoru náhodných čísel v kasinu uvedeném ve výroku II., zaniká povolení k umístění kasina v části písm. c) výroku II. tohoto povolení.</w:t>
      </w:r>
    </w:p>
    <w:p w14:paraId="29274835" w14:textId="77777777" w:rsidR="00ED42C8" w:rsidRPr="00ED42C8" w:rsidRDefault="00ED42C8" w:rsidP="00ED42C8">
      <w:pPr>
        <w:spacing w:before="120" w:after="12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Správní orgán žádost posoudil a shledal, že žadatel splnil všechny podmínky pro vydání povolení a není mu známá žádná překážka, která by bránila jeho vydání, tudíž bylo rozhodnuto tak, jak je uvedeno ve výrocích tohoto rozhodnutí.</w:t>
      </w:r>
    </w:p>
    <w:p w14:paraId="6309CFCD" w14:textId="77777777" w:rsidR="00ED42C8" w:rsidRPr="00ED42C8" w:rsidRDefault="00ED42C8" w:rsidP="00ED42C8">
      <w:pPr>
        <w:spacing w:after="24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u w:val="single"/>
          <w:lang w:eastAsia="cs-CZ"/>
        </w:rPr>
      </w:pPr>
      <w:r w:rsidRPr="00ED42C8">
        <w:rPr>
          <w:rFonts w:ascii="Calibri" w:eastAsia="Times New Roman" w:hAnsi="Calibri" w:cs="Times New Roman"/>
          <w:b/>
          <w:sz w:val="24"/>
          <w:szCs w:val="24"/>
          <w:u w:val="single"/>
          <w:lang w:eastAsia="cs-CZ"/>
        </w:rPr>
        <w:t>Poučení o opravném prostředku:</w:t>
      </w:r>
    </w:p>
    <w:p w14:paraId="0A75CE4F" w14:textId="77777777" w:rsidR="00ED42C8" w:rsidRPr="00ED42C8" w:rsidRDefault="00ED42C8" w:rsidP="00ED42C8">
      <w:pPr>
        <w:spacing w:after="48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Proti tomuto rozhodnutí lze ve lhůtě 15 dnů po jeho oznámení podat odvolání dle § 83 odst. 1 správního řádu ke </w:t>
      </w:r>
      <w:r w:rsidRPr="00ED42C8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Krajskému úřadu XXXXXXXXX kraje/Kraje XXXXXX/Magistrátu statutárního města XX/Magistrátu hl. m. Prahy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 xml:space="preserve">, a to prostřednictvím podání učiněného u správního orgánu, který napadené rozhodnutí vydal. O odvolání rozhoduje </w:t>
      </w:r>
      <w:r w:rsidRPr="00ED42C8">
        <w:rPr>
          <w:rFonts w:ascii="Calibri" w:eastAsia="Times New Roman" w:hAnsi="Calibri" w:cs="Times New Roman"/>
          <w:sz w:val="24"/>
          <w:szCs w:val="24"/>
          <w:highlight w:val="green"/>
          <w:lang w:eastAsia="cs-CZ"/>
        </w:rPr>
        <w:t>Krajský úřad XXXXXXXXX kraje/Kraje XXXXXX/ Magistrát statutárního města XX/Magistrát hl. m. Prahy</w:t>
      </w: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. Včas podané odvolání má podle ustanovení § 85 odst. 1 správního řádu odkladný účinek. Lhůta pro podání odvolání se počítá ode dne následujícího po doručení písemného vyhotovení rozhodnutí, nejpozději po uplynutí desátého dne ode dne, kdy bylo nedoručené a uložené rozhodnutí připraveno k vyzvednutí.</w:t>
      </w:r>
    </w:p>
    <w:p w14:paraId="64785037" w14:textId="77777777" w:rsidR="00ED42C8" w:rsidRPr="00ED42C8" w:rsidRDefault="00ED42C8" w:rsidP="00ED42C8">
      <w:pPr>
        <w:spacing w:after="48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14:paraId="76AA2B90" w14:textId="77777777" w:rsidR="00ED42C8" w:rsidRPr="00ED42C8" w:rsidRDefault="00ED42C8" w:rsidP="00ED42C8">
      <w:pPr>
        <w:spacing w:before="120" w:after="120" w:line="240" w:lineRule="auto"/>
        <w:ind w:left="5664" w:firstLine="708"/>
        <w:jc w:val="both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ED42C8">
        <w:rPr>
          <w:rFonts w:ascii="Calibri" w:eastAsia="Times New Roman" w:hAnsi="Calibri" w:cs="Times New Roman"/>
          <w:sz w:val="24"/>
          <w:szCs w:val="24"/>
          <w:lang w:eastAsia="cs-CZ"/>
        </w:rPr>
        <w:t>podpis oprávněné osoby</w:t>
      </w:r>
    </w:p>
    <w:p w14:paraId="79562E7E" w14:textId="77777777" w:rsidR="00344E99" w:rsidRDefault="00344E99"/>
    <w:sectPr w:rsidR="00344E9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120B9A"/>
    <w:multiLevelType w:val="hybridMultilevel"/>
    <w:tmpl w:val="415A6A2E"/>
    <w:lvl w:ilvl="0" w:tplc="EFBEE6B2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82E5F47"/>
    <w:multiLevelType w:val="hybridMultilevel"/>
    <w:tmpl w:val="744CE230"/>
    <w:lvl w:ilvl="0" w:tplc="8E7C96FC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1B3"/>
    <w:rsid w:val="00156E8D"/>
    <w:rsid w:val="002F2555"/>
    <w:rsid w:val="00344E99"/>
    <w:rsid w:val="00415436"/>
    <w:rsid w:val="005E5540"/>
    <w:rsid w:val="00600DAC"/>
    <w:rsid w:val="008331B3"/>
    <w:rsid w:val="008338F3"/>
    <w:rsid w:val="00AB4A4B"/>
    <w:rsid w:val="00AB600E"/>
    <w:rsid w:val="00B97B52"/>
    <w:rsid w:val="00C152B4"/>
    <w:rsid w:val="00C74D09"/>
    <w:rsid w:val="00D92E09"/>
    <w:rsid w:val="00E85932"/>
    <w:rsid w:val="00ED4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85CD93"/>
  <w15:chartTrackingRefBased/>
  <w15:docId w15:val="{D3B0AB1E-6312-4C59-AFAA-DCB3315CF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ED42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600D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00DAC"/>
    <w:rPr>
      <w:rFonts w:ascii="Segoe UI" w:hAnsi="Segoe UI" w:cs="Segoe UI"/>
      <w:sz w:val="18"/>
      <w:szCs w:val="18"/>
    </w:rPr>
  </w:style>
  <w:style w:type="character" w:styleId="Odkaznakoment">
    <w:name w:val="annotation reference"/>
    <w:basedOn w:val="Standardnpsmoodstavce"/>
    <w:uiPriority w:val="99"/>
    <w:semiHidden/>
    <w:unhideWhenUsed/>
    <w:rsid w:val="00D92E09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92E0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D92E09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92E0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D92E0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5</Pages>
  <Words>1734</Words>
  <Characters>10232</Characters>
  <Application>Microsoft Office Word</Application>
  <DocSecurity>0</DocSecurity>
  <Lines>85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financí</Company>
  <LinksUpToDate>false</LinksUpToDate>
  <CharactersWithSpaces>11943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Kopecký Josef</dc:creator>
  <cp:keywords/>
  <dc:description/>
  <cp:lastModifiedBy>Drobný Tomáš Bc.</cp:lastModifiedBy>
  <cp:revision>11</cp:revision>
  <dcterms:created xsi:type="dcterms:W3CDTF">2024-04-09T17:35:00Z</dcterms:created>
  <dcterms:modified xsi:type="dcterms:W3CDTF">2024-05-17T10:38:00Z</dcterms:modified>
</cp:coreProperties>
</file>