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18B" w:rsidRPr="0048418B" w:rsidRDefault="0048418B" w:rsidP="0048418B">
      <w:pPr>
        <w:keepNext/>
        <w:spacing w:after="0" w:line="276" w:lineRule="auto"/>
        <w:ind w:right="-778"/>
        <w:outlineLvl w:val="2"/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</w:pPr>
      <w:r w:rsidRPr="0048418B">
        <w:rPr>
          <w:rFonts w:ascii="Calibri" w:eastAsia="Arial Unicode MS" w:hAnsi="Calibri" w:cs="Times New Roman"/>
          <w:b/>
          <w:bCs/>
          <w:sz w:val="28"/>
          <w:szCs w:val="24"/>
          <w:highlight w:val="yellow"/>
        </w:rPr>
        <w:t>Obecní úřad/Městský úřad/Úřad městské části města/Úřad městského obvodu XXXX</w:t>
      </w:r>
    </w:p>
    <w:p w:rsidR="0048418B" w:rsidRPr="0048418B" w:rsidRDefault="0048418B" w:rsidP="0048418B">
      <w:pPr>
        <w:keepNext/>
        <w:spacing w:after="0" w:line="276" w:lineRule="auto"/>
        <w:outlineLvl w:val="5"/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</w:pPr>
      <w:r w:rsidRPr="0048418B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 xml:space="preserve">ulice </w:t>
      </w:r>
      <w:proofErr w:type="gramStart"/>
      <w:r w:rsidRPr="0048418B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>č.p.</w:t>
      </w:r>
      <w:proofErr w:type="gramEnd"/>
      <w:r w:rsidRPr="0048418B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>/</w:t>
      </w:r>
      <w:proofErr w:type="spellStart"/>
      <w:r w:rsidRPr="0048418B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>č.o</w:t>
      </w:r>
      <w:proofErr w:type="spellEnd"/>
      <w:r w:rsidRPr="0048418B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>.</w:t>
      </w:r>
    </w:p>
    <w:p w:rsidR="0048418B" w:rsidRPr="0048418B" w:rsidRDefault="0048418B" w:rsidP="0048418B">
      <w:pPr>
        <w:spacing w:after="0" w:line="276" w:lineRule="auto"/>
        <w:rPr>
          <w:rFonts w:ascii="Calibri" w:eastAsia="Times New Roman" w:hAnsi="Calibri" w:cs="Times New Roman"/>
          <w:b/>
          <w:bCs/>
          <w:sz w:val="24"/>
          <w:szCs w:val="24"/>
          <w:highlight w:val="yellow"/>
        </w:rPr>
      </w:pPr>
      <w:r w:rsidRPr="0048418B">
        <w:rPr>
          <w:rFonts w:ascii="Calibri" w:eastAsia="Times New Roman" w:hAnsi="Calibri" w:cs="Times New Roman"/>
          <w:b/>
          <w:bCs/>
          <w:sz w:val="24"/>
          <w:szCs w:val="24"/>
          <w:highlight w:val="yellow"/>
        </w:rPr>
        <w:t>PSČ obec</w:t>
      </w:r>
    </w:p>
    <w:p w:rsidR="0048418B" w:rsidRPr="0048418B" w:rsidRDefault="0048418B" w:rsidP="0048418B">
      <w:pPr>
        <w:spacing w:after="0" w:line="240" w:lineRule="auto"/>
        <w:ind w:left="708" w:firstLine="708"/>
        <w:jc w:val="right"/>
        <w:rPr>
          <w:rFonts w:ascii="Calibri" w:eastAsia="Times New Roman" w:hAnsi="Calibri" w:cs="Times New Roman"/>
          <w:sz w:val="18"/>
          <w:szCs w:val="18"/>
          <w:highlight w:val="yellow"/>
          <w:lang w:eastAsia="cs-CZ"/>
        </w:rPr>
      </w:pPr>
    </w:p>
    <w:p w:rsidR="0048418B" w:rsidRPr="0048418B" w:rsidRDefault="0048418B" w:rsidP="0048418B">
      <w:pPr>
        <w:spacing w:after="0" w:line="240" w:lineRule="auto"/>
        <w:ind w:left="708" w:firstLine="708"/>
        <w:jc w:val="right"/>
        <w:outlineLvl w:val="0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V 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doplňte obec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dne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DD. MM. RRRR</w:t>
      </w:r>
    </w:p>
    <w:p w:rsidR="0048418B" w:rsidRPr="0048418B" w:rsidRDefault="0048418B" w:rsidP="0048418B">
      <w:pPr>
        <w:spacing w:after="0" w:line="240" w:lineRule="auto"/>
        <w:outlineLvl w:val="0"/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Č. j.:</w:t>
      </w:r>
      <w:r w:rsidRPr="0048418B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 xml:space="preserve">        </w:t>
      </w:r>
      <w:r w:rsidRPr="0048418B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ab/>
        <w:t xml:space="preserve">     </w:t>
      </w:r>
      <w:r w:rsidRPr="0048418B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ab/>
      </w:r>
    </w:p>
    <w:p w:rsidR="0048418B" w:rsidRPr="0048418B" w:rsidRDefault="0048418B" w:rsidP="0048418B">
      <w:pPr>
        <w:spacing w:after="0" w:line="240" w:lineRule="auto"/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</w:pPr>
      <w:r w:rsidRPr="0048418B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>Ev. č.:</w:t>
      </w:r>
    </w:p>
    <w:p w:rsidR="0048418B" w:rsidRPr="0048418B" w:rsidRDefault="0048418B" w:rsidP="0048418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Arial Unicode MS" w:hAnsi="Calibri" w:cs="Times New Roman"/>
          <w:sz w:val="24"/>
          <w:szCs w:val="24"/>
          <w:lang w:eastAsia="cs-CZ"/>
        </w:rPr>
        <w:t>V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yřizuje: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doplňte referenta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ab/>
      </w:r>
    </w:p>
    <w:p w:rsidR="0048418B" w:rsidRPr="0048418B" w:rsidRDefault="0048418B" w:rsidP="0048418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Vysvětlivky ke vzoru (odmažte)</w:t>
      </w: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Modře </w:t>
      </w:r>
      <w:r w:rsidRPr="0048418B">
        <w:rPr>
          <w:rFonts w:ascii="Calibri" w:eastAsia="Times New Roman" w:hAnsi="Calibri" w:cs="Times New Roman"/>
          <w:i/>
          <w:sz w:val="24"/>
          <w:szCs w:val="24"/>
          <w:lang w:eastAsia="cs-CZ"/>
        </w:rPr>
        <w:t>– vždy vymažte, vysvětlení a pokyny pro správní orgán</w:t>
      </w: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yellow"/>
          <w:lang w:eastAsia="cs-CZ"/>
        </w:rPr>
        <w:t xml:space="preserve">Žlutě </w:t>
      </w:r>
      <w:r w:rsidRPr="0048418B">
        <w:rPr>
          <w:rFonts w:ascii="Calibri" w:eastAsia="Times New Roman" w:hAnsi="Calibri" w:cs="Times New Roman"/>
          <w:i/>
          <w:sz w:val="24"/>
          <w:szCs w:val="24"/>
          <w:lang w:eastAsia="cs-CZ"/>
        </w:rPr>
        <w:t>– vždy doplní správní orgán, případně překontroluje jejich správnost, pokud jsou doplněny ze systému</w:t>
      </w: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green"/>
          <w:lang w:eastAsia="cs-CZ"/>
        </w:rPr>
        <w:t>Zeleně</w:t>
      </w:r>
      <w:r w:rsidRPr="0048418B">
        <w:rPr>
          <w:rFonts w:ascii="Calibri" w:eastAsia="Times New Roman" w:hAnsi="Calibri" w:cs="Times New Roman"/>
          <w:i/>
          <w:sz w:val="24"/>
          <w:szCs w:val="24"/>
          <w:lang w:eastAsia="cs-CZ"/>
        </w:rPr>
        <w:t xml:space="preserve"> – variantní výběr, vyberte jednu z variant, zbylé vymažte</w:t>
      </w: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lang w:eastAsia="cs-CZ"/>
        </w:rPr>
        <w:t>Celému textu je však nutné věnovat pozornost, aby text odpovídal skutkovému stavu.</w:t>
      </w:r>
    </w:p>
    <w:p w:rsidR="0048418B" w:rsidRPr="0048418B" w:rsidRDefault="0048418B" w:rsidP="0048418B">
      <w:pPr>
        <w:keepNext/>
        <w:keepLines/>
        <w:spacing w:before="200" w:after="0" w:line="240" w:lineRule="auto"/>
        <w:jc w:val="center"/>
        <w:outlineLvl w:val="3"/>
        <w:rPr>
          <w:rFonts w:ascii="Calibri" w:eastAsia="Times New Roman" w:hAnsi="Calibri" w:cs="Times New Roman"/>
          <w:b/>
          <w:bCs/>
          <w:iCs/>
          <w:sz w:val="28"/>
          <w:szCs w:val="28"/>
          <w:lang w:eastAsia="cs-CZ"/>
        </w:rPr>
      </w:pPr>
    </w:p>
    <w:p w:rsidR="0048418B" w:rsidRPr="0048418B" w:rsidRDefault="0048418B" w:rsidP="0048418B">
      <w:pPr>
        <w:keepNext/>
        <w:keepLines/>
        <w:spacing w:before="200" w:after="0" w:line="240" w:lineRule="auto"/>
        <w:jc w:val="center"/>
        <w:outlineLvl w:val="3"/>
        <w:rPr>
          <w:rFonts w:ascii="Calibri" w:eastAsia="Times New Roman" w:hAnsi="Calibri" w:cs="Times New Roman"/>
          <w:b/>
          <w:bCs/>
          <w:iCs/>
          <w:sz w:val="36"/>
          <w:szCs w:val="36"/>
          <w:lang w:eastAsia="cs-CZ"/>
        </w:rPr>
      </w:pPr>
      <w:r w:rsidRPr="0048418B">
        <w:rPr>
          <w:rFonts w:ascii="Calibri" w:eastAsia="Times New Roman" w:hAnsi="Calibri" w:cs="Times New Roman"/>
          <w:b/>
          <w:bCs/>
          <w:iCs/>
          <w:sz w:val="36"/>
          <w:szCs w:val="36"/>
          <w:lang w:eastAsia="cs-CZ"/>
        </w:rPr>
        <w:t>ROZHODNUTÍ</w:t>
      </w:r>
    </w:p>
    <w:p w:rsidR="0048418B" w:rsidRPr="0048418B" w:rsidRDefault="0048418B" w:rsidP="0048418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cs-CZ"/>
        </w:rPr>
      </w:pP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Obecní úřad /Městský úřad/Úřad městské části města/Úřad městského obvodu 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„správní orgán“) jako věcně příslušný správní úřad podle § 10 zákona č. 500/2004 Sb., správní řád, ve znění pozdějších předpisů (dále též „správní řád“) a podle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§ 115</w:t>
      </w:r>
      <w:r w:rsidR="00997614" w:rsidRPr="00997614">
        <w:t xml:space="preserve"> </w:t>
      </w:r>
      <w:r w:rsidR="00997614">
        <w:t>písm. a)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 souvislost</w:t>
      </w:r>
      <w:r w:rsidR="008C26F6">
        <w:rPr>
          <w:rFonts w:ascii="Calibri" w:eastAsia="Times New Roman" w:hAnsi="Calibri" w:cs="Times New Roman"/>
          <w:sz w:val="24"/>
          <w:szCs w:val="24"/>
          <w:lang w:eastAsia="cs-CZ"/>
        </w:rPr>
        <w:t>i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 § 104b odst. 2 zákona č. 186/2016 Sb., o hazardních hrách, ve znění pozdějších předpisů (dále též „zákon“) projednal podání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obchodní společnosti XXXXXXXX, IČ: XXXXX, se sídlem XXXX, PSČ, obec, právně zastoupené XXXXXX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„provozovatel“), a to žádost ve věci povolení k umístění herního prostoru podle § 67 zákona,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ze dne XX. XX. 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doručenou dne XX. XX. 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, a rozhodl tak, že podle § 104c zákona</w:t>
      </w:r>
    </w:p>
    <w:p w:rsidR="0048418B" w:rsidRP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48418B" w:rsidRPr="0048418B" w:rsidRDefault="0048418B" w:rsidP="0048418B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uděluje povolení k umístění HERNY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 názvem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v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 xml:space="preserve">X.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podzemním/nadzemním podlaží nebo v patře/v přízemí nebo označení nebytové jednotky nebo případně jiná specifikace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 budově na adrese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č. p./ č. o.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 xml:space="preserve"> XXX/XX, obec, 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PSČ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 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/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 budově na parcele p. č. XXX, k. </w:t>
      </w:r>
      <w:proofErr w:type="spellStart"/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ú.</w:t>
      </w:r>
      <w:proofErr w:type="spellEnd"/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 xml:space="preserve"> XXX, obec XXX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(dále jen „herna“);</w:t>
      </w:r>
    </w:p>
    <w:p w:rsidR="0048418B" w:rsidRPr="0048418B" w:rsidRDefault="0048418B" w:rsidP="0048418B">
      <w:pPr>
        <w:numPr>
          <w:ilvl w:val="0"/>
          <w:numId w:val="1"/>
        </w:numPr>
        <w:spacing w:after="12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after="12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povoluje v herně provozování technické hry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, jejíž provozování bylo povoleno základním povolením vydaným Ministerstvem financí ve správním řízení vedeném pod </w:t>
      </w:r>
      <w:proofErr w:type="spellStart"/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sp</w:t>
      </w:r>
      <w:proofErr w:type="spellEnd"/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zn.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noBreakHyphen/>
        <w:t>XXX/20XX/XXXX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vymaže pomlčku a číslo/čísla za ní)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a těchto 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koncových zařízení technické hry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:</w:t>
      </w:r>
    </w:p>
    <w:tbl>
      <w:tblPr>
        <w:tblStyle w:val="Mkatabulky1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1459"/>
        <w:gridCol w:w="2369"/>
        <w:gridCol w:w="1417"/>
        <w:gridCol w:w="1667"/>
      </w:tblGrid>
      <w:tr w:rsidR="0048418B" w:rsidRPr="0048418B" w:rsidTr="00FB32A5">
        <w:tc>
          <w:tcPr>
            <w:tcW w:w="2268" w:type="dxa"/>
            <w:vAlign w:val="center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Příslušná hazardní hra</w:t>
            </w:r>
          </w:p>
        </w:tc>
        <w:tc>
          <w:tcPr>
            <w:tcW w:w="1459" w:type="dxa"/>
            <w:vAlign w:val="center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Typ koncového zařízení technické hry</w:t>
            </w:r>
          </w:p>
        </w:tc>
        <w:tc>
          <w:tcPr>
            <w:tcW w:w="2369" w:type="dxa"/>
            <w:vAlign w:val="center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Výrobní číslo koncového zařízení technické hry</w:t>
            </w:r>
          </w:p>
        </w:tc>
        <w:tc>
          <w:tcPr>
            <w:tcW w:w="1417" w:type="dxa"/>
            <w:vAlign w:val="center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Počet herních pozic koncového zařízení technické hry</w:t>
            </w:r>
          </w:p>
        </w:tc>
        <w:tc>
          <w:tcPr>
            <w:tcW w:w="1667" w:type="dxa"/>
            <w:vAlign w:val="center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Výrobní čísla herních pozic</w:t>
            </w:r>
          </w:p>
        </w:tc>
      </w:tr>
      <w:tr w:rsidR="0048418B" w:rsidRPr="0048418B" w:rsidTr="00FB32A5">
        <w:tc>
          <w:tcPr>
            <w:tcW w:w="2268" w:type="dxa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59" w:type="dxa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2369" w:type="dxa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17" w:type="dxa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667" w:type="dxa"/>
          </w:tcPr>
          <w:p w:rsidR="0048418B" w:rsidRPr="0048418B" w:rsidRDefault="0048418B" w:rsidP="0048418B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</w:tr>
      <w:tr w:rsidR="0048418B" w:rsidRPr="0048418B" w:rsidTr="00FB32A5">
        <w:tc>
          <w:tcPr>
            <w:tcW w:w="2268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59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2369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17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667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</w:tr>
      <w:tr w:rsidR="0048418B" w:rsidRPr="0048418B" w:rsidTr="00FB32A5">
        <w:tc>
          <w:tcPr>
            <w:tcW w:w="2268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59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2369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417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  <w:tc>
          <w:tcPr>
            <w:tcW w:w="1667" w:type="dxa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</w:tr>
      <w:tr w:rsidR="0048418B" w:rsidRPr="0048418B" w:rsidTr="00FB32A5">
        <w:tc>
          <w:tcPr>
            <w:tcW w:w="6096" w:type="dxa"/>
            <w:gridSpan w:val="3"/>
          </w:tcPr>
          <w:p w:rsidR="0048418B" w:rsidRPr="0048418B" w:rsidRDefault="0048418B" w:rsidP="0048418B">
            <w:pPr>
              <w:spacing w:after="120"/>
              <w:rPr>
                <w:rFonts w:ascii="Calibri" w:eastAsia="Times New Roman" w:hAnsi="Calibri" w:cs="Times New Roman"/>
                <w:b/>
                <w:sz w:val="20"/>
                <w:szCs w:val="24"/>
                <w:highlight w:val="yellow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  <w:t xml:space="preserve">Celkový počet koncových zařízení technické hry provozovaných v herně dle zákona: </w:t>
            </w:r>
          </w:p>
        </w:tc>
        <w:tc>
          <w:tcPr>
            <w:tcW w:w="3084" w:type="dxa"/>
            <w:gridSpan w:val="2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</w:tr>
      <w:tr w:rsidR="0048418B" w:rsidRPr="0048418B" w:rsidTr="00FB32A5">
        <w:tc>
          <w:tcPr>
            <w:tcW w:w="6096" w:type="dxa"/>
            <w:gridSpan w:val="3"/>
            <w:vAlign w:val="center"/>
          </w:tcPr>
          <w:p w:rsidR="0048418B" w:rsidRPr="0048418B" w:rsidRDefault="0048418B" w:rsidP="0048418B">
            <w:pPr>
              <w:spacing w:after="120"/>
              <w:rPr>
                <w:rFonts w:ascii="Calibri" w:eastAsia="Times New Roman" w:hAnsi="Calibri" w:cs="Times New Roman"/>
                <w:b/>
                <w:sz w:val="24"/>
                <w:szCs w:val="24"/>
                <w:highlight w:val="yellow"/>
                <w:lang w:eastAsia="cs-CZ"/>
              </w:rPr>
            </w:pPr>
            <w:r w:rsidRPr="0048418B"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  <w:t>Celkový počet herních pozic provozovaných v herně dle zákona:</w:t>
            </w:r>
          </w:p>
        </w:tc>
        <w:tc>
          <w:tcPr>
            <w:tcW w:w="3084" w:type="dxa"/>
            <w:gridSpan w:val="2"/>
          </w:tcPr>
          <w:p w:rsidR="0048418B" w:rsidRPr="0048418B" w:rsidRDefault="0048418B" w:rsidP="0048418B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cs-CZ"/>
              </w:rPr>
            </w:pPr>
          </w:p>
        </w:tc>
      </w:tr>
    </w:tbl>
    <w:p w:rsidR="0048418B" w:rsidRPr="0048418B" w:rsidRDefault="0048418B" w:rsidP="0048418B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III.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stanovuje provozní dobu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herny ve dnech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od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XX:XX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do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XX:XX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;</w:t>
      </w:r>
    </w:p>
    <w:p w:rsidR="0048418B" w:rsidRPr="0048418B" w:rsidRDefault="0048418B" w:rsidP="0048418B">
      <w:pPr>
        <w:spacing w:before="360"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IV.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(</w:t>
      </w:r>
      <w:r w:rsidRPr="0048418B">
        <w:rPr>
          <w:rFonts w:ascii="Calibri" w:eastAsia="Times New Roman" w:hAnsi="Calibri" w:cs="Times New Roman"/>
          <w:b/>
          <w:i/>
          <w:sz w:val="24"/>
          <w:szCs w:val="24"/>
          <w:highlight w:val="cyan"/>
          <w:lang w:eastAsia="cs-CZ"/>
        </w:rPr>
        <w:t>pouze v případě, že je odložená účinnost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)</w:t>
      </w:r>
    </w:p>
    <w:p w:rsidR="0048418B" w:rsidRPr="0048418B" w:rsidRDefault="0048418B" w:rsidP="0048418B">
      <w:pPr>
        <w:spacing w:before="36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rozhodnutí je účinné ode dne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XX. XX. XXXX, nabyde-li toto rozhodnutí právní moci později, pak je toto rozhodnutí účinné ode dne nabytí právní moci tohoto rozhodnutí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; </w:t>
      </w:r>
    </w:p>
    <w:p w:rsidR="0048418B" w:rsidRPr="0048418B" w:rsidRDefault="0048418B" w:rsidP="0048418B">
      <w:pPr>
        <w:spacing w:before="360"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proofErr w:type="gramStart"/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V./IV</w:t>
      </w:r>
      <w:proofErr w:type="gramEnd"/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.</w:t>
      </w: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doba právních účinků tohoto rozhodnutí je stanovena na dobu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X let ode dne účinnosti tohoto rozhodnutí/ X let ode dne právní moci tohoto rozhodnutí/ do XX. XX. 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(Správní orgán vybere jednu možnost. Správní orgán uvede fixní datum (do XX) pouze tehdy, pokud žadatel požaduje dobu kratší než 3 roky, případně pokud zakracuje platnost povolení.</w:t>
      </w: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(max. 3 roky)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</w:p>
    <w:p w:rsidR="0048418B" w:rsidRPr="0048418B" w:rsidRDefault="0048418B" w:rsidP="0048418B">
      <w:pPr>
        <w:spacing w:before="120" w:after="120" w:line="240" w:lineRule="auto"/>
        <w:ind w:left="360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lang w:eastAsia="cs-CZ"/>
        </w:rPr>
        <w:t>Odůvodnění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Popis procesního stavu, kdy byla žádost doručena, zda byly doloženy všechny přílohy stanovené zákonem. Uvést, zda byl provozovatel vyzván k doplnění žádosti, případně výzvu více specifikovat, shrnout co doplnil, jak se ve věci vyjádřil.</w:t>
      </w:r>
      <w:r w:rsidRPr="0048418B">
        <w:rPr>
          <w:rFonts w:ascii="Calibri" w:eastAsia="Times New Roman" w:hAnsi="Calibri" w:cs="Times New Roman"/>
          <w:i/>
          <w:sz w:val="24"/>
          <w:szCs w:val="24"/>
          <w:lang w:eastAsia="cs-CZ"/>
        </w:rPr>
        <w:t xml:space="preserve">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Dne XX. XX. XXXX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byla správnímu orgánu doručena žádost o vydání povolení k umístění herního prostoru (dále jen „žádost“). Společně s žádostí byly žadatelem doloženy všechny potřebné dokumenty vyžadované zákonem. Správní orgán žádost posoudil a dospěl k závěru, že žádost nevykazovala žádné vady či nedostatky, všechny zákonem požadované doklady byly ze strany žadatele v souladu s ustanovením § 104d zákona doloženy.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Uvést, na základě kterých základních povolení se provozovateli povoluje provozování příslušných druhů hazardních her.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Žadatel je držitelem základního povolení k provozování technické hry, vydaného v rámci správního řízení </w:t>
      </w:r>
      <w:proofErr w:type="spellStart"/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sp</w:t>
      </w:r>
      <w:proofErr w:type="spellEnd"/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zn.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MF-XXXX/201XX/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XXXX </w:t>
      </w:r>
      <w:r w:rsidRPr="0048418B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vymaže pomlčku a číslo/čísla za ní)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tudíž je podmínka § 104c odst. 1 písm. a) zákona splněna.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Shrnout posouzení s obecně závaznou vyhláškou obce, reguluje-li obec provozování na svém území</w:t>
      </w:r>
      <w:r w:rsidR="0063100A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a konstatovat, že herna nebude umístěna </w:t>
      </w:r>
      <w:r w:rsidR="0089481A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 prostorech, ve kterých nelze provozovat hazardní hry dle § 13 odst. 1 zákona</w:t>
      </w: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.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Správní orgán v souladu s ustanovením § 104c odst. 1 písm. b) zákona posoudil soulad s 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obecně závaznou vyhláškou č. XXX/XXX regulující provozování hazardních her na území města XXX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„OZV“) a neshledal, že by provozování hazardních her bylo v rozporu 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lastRenderedPageBreak/>
        <w:t>s regulací v této OZV obsaženou.</w:t>
      </w:r>
      <w:r w:rsidR="006310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Zároveň není umístění herního prostoru v rozporu s § 13 odst. 1</w:t>
      </w:r>
      <w:r w:rsidR="005C7E8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6310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zákona.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Shrnout posouzení skutečnosti, že v posledních 3 letech nedošlo u provozovatele ke zrušení PUHP stejného druhu na stejném místě.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žádost posoudil v souladu s § 104c odst. 1 písm. c) zákona a shledal, že v posledních 3 letech přede dnem podání žádosti nebylo provozovateli zrušeno povolení k umístění herního prostoru stejného druhu na daném místě podle § 104f odst. 3 písm. d) zákona.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Vyjádření se ke splnění minimálních počtů herních pozic koncových zařízení technické hry.</w:t>
      </w:r>
    </w:p>
    <w:p w:rsidR="0048418B" w:rsidRDefault="0048418B" w:rsidP="0048418B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posoudil podmínku § 67 odst. 5 zákona vztahující se k minimálnímu počtu herních pozic koncových zařízení technické hry, které budou v herně provozovány, a dospěl k závěru, že tato zákonná podmínka byla splněna. Technickou hru se povoluje provozovat prostřednictvím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 xml:space="preserve">XX </w:t>
      </w: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(doplnit počet)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výše uvedených koncových zařízení technické hry o celkovém počtu </w:t>
      </w:r>
      <w:r w:rsidRPr="0048418B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(doplnit počet)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herních pozic.</w:t>
      </w:r>
    </w:p>
    <w:p w:rsidR="00811581" w:rsidRPr="00811581" w:rsidRDefault="00811581" w:rsidP="00811581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Vyjádření se k délce právních účinků rozhodnutí.</w:t>
      </w:r>
    </w:p>
    <w:p w:rsidR="00811581" w:rsidRPr="00811581" w:rsidRDefault="00811581" w:rsidP="00811581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Správní orgán vydá povolení k umístění herního prostoru na dobu, kterou provozovatel uvede v žádosti, pokud je v souladu s platnou obecně závaznou vyhláškou a maximální tříletou dobou, na kterou lze podle zákona povolení vydat</w:t>
      </w:r>
      <w:r w:rsidR="00292EAD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,</w:t>
      </w: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a nepřekračuje dobu, na kterou bylo vydáno základní povolení. Jinak správní orgán uvědomí provozovatele o zakrácení povolení v rámci vyjádření se k podkladům pro vydání rozhodnutí (a tuto skutečnost uvede v odůvodnění). Ministerstvo financí dlouhodobě upozorňuje na skutečnost, že k vydání obecně závazné vyhlášky regulující hazardní hry bez přechodného období pro již vydaná povolení k umístění herního prostoru by měla obec přistoupit pouze v případě naléhavého zájmu na dodržování veřejného pořádku</w:t>
      </w:r>
      <w:r w:rsidR="001C3AE0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. </w:t>
      </w:r>
      <w:r w:rsidR="00FE2846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Nelze přitom stanovit účinnost povolení k umístění herního prostoru na den předcházející účinnosti základního povolení. Pouze je přípustné, aby s odloženou účinností bylo vydáno povolení k umístění herního prostoru, pokud již provozovatel disponuje pravomocným (ne však ještě účinným) základním povolením.</w:t>
      </w:r>
    </w:p>
    <w:p w:rsidR="00811581" w:rsidRPr="00811581" w:rsidRDefault="00811581" w:rsidP="00811581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Správní orgán stanovil dobu právních účinků kratší</w:t>
      </w:r>
      <w:r w:rsidR="00E179B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, než jakou provozovatel žádal ve své žádosti</w:t>
      </w:r>
      <w:r w:rsidR="007310E3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,</w:t>
      </w:r>
      <w:r w:rsidR="00E179B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s ohledem na § 104c odst. 3 zákona, podle kterého lze povolení k umístění herního prostoru vydat na dobu trvání právních účinků základního povolení</w:t>
      </w:r>
      <w:r w:rsidR="00292EAD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,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nejdéle však na dobu 3 let. / Správní orgán stanovil dobu právních účinků podle žádosti provozovatele. Přitom posoudil podmínku § 104c odst. 3 zákona, podle které lze povolení k umístění herního prostoru vydat na dobu trvání právních účinků základního povolení, nejdéle však na dobu 3 let. </w:t>
      </w:r>
    </w:p>
    <w:p w:rsidR="00811581" w:rsidRPr="00811581" w:rsidRDefault="00811581" w:rsidP="00811581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</w:pP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/</w:t>
      </w:r>
    </w:p>
    <w:p w:rsidR="00811581" w:rsidRPr="00811581" w:rsidRDefault="00811581" w:rsidP="0081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Správnímu orgánu je z vlastní úřední činnosti známa obecně závazná vyhláška č. XX/20XX vyhlášená dne XX. XX. 20XX s účinností ke dn</w:t>
      </w:r>
      <w:r w:rsidR="008C0194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i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XX. XX. 20XX. Správní orgán přistoupil z hlediska procesní ekonomie k zakrácení požadované délky právních účinků </w:t>
      </w:r>
      <w:r w:rsidR="008C0194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povolení k umístění herního prostoru 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z doby do XX. XX. 20XX </w:t>
      </w: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(žadatelem žádaná doba, maximálně 3 roky od nabytí účinnosti/právní moci rozhodnutí)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na dobu do XX. XX. 20XX </w:t>
      </w: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(den předcházející dni</w:t>
      </w:r>
      <w:r w:rsidR="008C0194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nabytí</w:t>
      </w:r>
      <w:r w:rsidRPr="00811581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účinnosti obecně závazné vyhlášky)</w:t>
      </w:r>
      <w:r w:rsidRPr="00811581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.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Závěrečné shrnutí.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V případě zániku základního povolení k provozování technické hry, na jehož základě bylo provozovateli provozování technické hry povoleno, a to byť jen v části týkající se provozování typu koncového zařízení technické hry uvedeného ve výroku II., zaniká povolení k umístění </w:t>
      </w:r>
      <w:r w:rsidRPr="0048418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lastRenderedPageBreak/>
        <w:t xml:space="preserve">herny v části výroku II. týkajícího se provozování konkrétních koncových zařízení technické hry daného typu. 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žádost posoudil a shledal, že žadatel splnil všechny podmínky pro vydání povolení, a není mu známá žádná překážka, která by bránila jeho vydání, tudíž bylo rozhodnuto tak, jak je uvedeno ve výrocích </w:t>
      </w:r>
      <w:bookmarkStart w:id="0" w:name="_GoBack"/>
      <w:r w:rsidR="008C019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tohoto </w:t>
      </w:r>
      <w:bookmarkEnd w:id="0"/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rozhodnutí.</w:t>
      </w:r>
    </w:p>
    <w:p w:rsidR="0048418B" w:rsidRPr="0048418B" w:rsidRDefault="0048418B" w:rsidP="0048418B">
      <w:pPr>
        <w:spacing w:after="24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lang w:eastAsia="cs-CZ"/>
        </w:rPr>
      </w:pPr>
      <w:r w:rsidRPr="0048418B">
        <w:rPr>
          <w:rFonts w:ascii="Calibri" w:eastAsia="Times New Roman" w:hAnsi="Calibri" w:cs="Times New Roman"/>
          <w:b/>
          <w:sz w:val="24"/>
          <w:szCs w:val="24"/>
          <w:u w:val="single"/>
          <w:lang w:eastAsia="cs-CZ"/>
        </w:rPr>
        <w:t>Poučení o opravném prostředku:</w:t>
      </w:r>
    </w:p>
    <w:p w:rsidR="0048418B" w:rsidRPr="0048418B" w:rsidRDefault="0048418B" w:rsidP="0048418B">
      <w:pPr>
        <w:spacing w:after="48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Proti tomuto rozhodnutí lze ve lhůtě 15 dnů po jeho oznámení podat odvolání dle § 83 odst. 1 správního řádu ke </w:t>
      </w:r>
      <w:r w:rsidRPr="0048418B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Krajskému úřadu XXXXXXXXX kraje/Kraje XXXXXX/Magistrátu statutárního města XX/Magistrátu hl. m. Prahy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a to prostřednictvím podání učiněného u správního orgánu, který napadené rozhodnutí vydal. O odvolání rozhoduje </w:t>
      </w:r>
      <w:r w:rsidRPr="0048418B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Krajský úřad XXXXXXXXX kraje/Kraje XXXXXX/ Magistrát statutárního města XX/Magistrát hl. m. Prahy</w:t>
      </w: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. Včas podané odvolání má podle ustanovení § 85 odst. 1 správního řádu odkladný účinek. Lhůta pro podání odvolání se počítá ode dne následujícího po doručení písemného vyhotovení rozhodnutí, nejpozději po uplynutí desátého dne ode dne, kdy bylo nedoručené a uložené rozhodnutí připraveno k vyzvednutí.</w:t>
      </w:r>
    </w:p>
    <w:p w:rsidR="0048418B" w:rsidRPr="0048418B" w:rsidRDefault="0048418B" w:rsidP="0048418B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48418B" w:rsidRPr="0048418B" w:rsidRDefault="0048418B" w:rsidP="0048418B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8418B">
        <w:rPr>
          <w:rFonts w:ascii="Calibri" w:eastAsia="Times New Roman" w:hAnsi="Calibri" w:cs="Times New Roman"/>
          <w:sz w:val="24"/>
          <w:szCs w:val="24"/>
          <w:lang w:eastAsia="cs-CZ"/>
        </w:rPr>
        <w:t>podpis oprávněné osoby</w:t>
      </w:r>
    </w:p>
    <w:p w:rsidR="0048418B" w:rsidRPr="0048418B" w:rsidRDefault="0048418B" w:rsidP="0048418B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592926" w:rsidRDefault="00592926"/>
    <w:sectPr w:rsidR="00592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20B9A"/>
    <w:multiLevelType w:val="hybridMultilevel"/>
    <w:tmpl w:val="415A6A2E"/>
    <w:lvl w:ilvl="0" w:tplc="EFBEE6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9CB"/>
    <w:rsid w:val="0016310D"/>
    <w:rsid w:val="001C3AE0"/>
    <w:rsid w:val="00292EAD"/>
    <w:rsid w:val="002B1314"/>
    <w:rsid w:val="002B513F"/>
    <w:rsid w:val="00394D58"/>
    <w:rsid w:val="0048418B"/>
    <w:rsid w:val="00592926"/>
    <w:rsid w:val="005C7E89"/>
    <w:rsid w:val="0063100A"/>
    <w:rsid w:val="0071475D"/>
    <w:rsid w:val="007310E3"/>
    <w:rsid w:val="007729CB"/>
    <w:rsid w:val="00811581"/>
    <w:rsid w:val="0089481A"/>
    <w:rsid w:val="008C0194"/>
    <w:rsid w:val="008C26F6"/>
    <w:rsid w:val="008C5BCF"/>
    <w:rsid w:val="00997614"/>
    <w:rsid w:val="009D6B27"/>
    <w:rsid w:val="00A36A30"/>
    <w:rsid w:val="00AD7F1B"/>
    <w:rsid w:val="00E179BC"/>
    <w:rsid w:val="00E6772A"/>
    <w:rsid w:val="00FE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17B25-3CBD-4638-9745-ABDF8D23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484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39"/>
    <w:rsid w:val="00484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5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1955</Words>
  <Characters>11541</Characters>
  <Application>Microsoft Office Word</Application>
  <DocSecurity>0</DocSecurity>
  <Lines>96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13470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Kopecký Josef</dc:creator>
  <cp:keywords/>
  <dc:description/>
  <cp:lastModifiedBy>Drobný Tomáš Bc.</cp:lastModifiedBy>
  <cp:revision>16</cp:revision>
  <dcterms:created xsi:type="dcterms:W3CDTF">2024-04-08T15:06:00Z</dcterms:created>
  <dcterms:modified xsi:type="dcterms:W3CDTF">2024-05-17T10:36:00Z</dcterms:modified>
</cp:coreProperties>
</file>