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7FB2" w:rsidRPr="008822C1" w:rsidRDefault="008822C1" w:rsidP="003F096B">
      <w:pPr>
        <w:spacing w:before="120" w:line="276" w:lineRule="auto"/>
        <w:jc w:val="center"/>
        <w:rPr>
          <w:rFonts w:ascii="Arial" w:hAnsi="Arial" w:cs="Arial"/>
          <w:b/>
          <w:u w:val="single"/>
        </w:rPr>
      </w:pPr>
      <w:r w:rsidRPr="008822C1">
        <w:rPr>
          <w:rFonts w:ascii="Arial" w:hAnsi="Arial" w:cs="Arial"/>
          <w:b/>
          <w:u w:val="single"/>
        </w:rPr>
        <w:t>Výkladové stanovisko k části Smlouvy o poskytnutí účelové dotace</w:t>
      </w:r>
    </w:p>
    <w:p w:rsidR="008822C1" w:rsidRPr="008822C1" w:rsidRDefault="008822C1" w:rsidP="003F096B">
      <w:pPr>
        <w:spacing w:before="120" w:line="276" w:lineRule="auto"/>
        <w:rPr>
          <w:rFonts w:ascii="Arial" w:hAnsi="Arial" w:cs="Arial"/>
        </w:rPr>
      </w:pPr>
    </w:p>
    <w:p w:rsidR="008822C1" w:rsidRPr="008822C1" w:rsidRDefault="008822C1" w:rsidP="003F096B">
      <w:pPr>
        <w:spacing w:before="120" w:line="276" w:lineRule="auto"/>
        <w:jc w:val="both"/>
        <w:rPr>
          <w:rFonts w:ascii="Arial" w:hAnsi="Arial" w:cs="Arial"/>
        </w:rPr>
      </w:pPr>
      <w:r w:rsidRPr="008822C1">
        <w:rPr>
          <w:rFonts w:ascii="Arial" w:hAnsi="Arial" w:cs="Arial"/>
        </w:rPr>
        <w:t>V návaznosti na informace získané od poskytovatelů sociálních služeb na pracovním setkání, které se konalo dne 26. 2. 2015, sděluje Krajský úřad Olomouckého kraje, odbor sociálních věcí, výkladové stanovisko k článku VI odst. 4 Smlouvy o poskytnutí účelové dotace v souladu se zákonem č. 108/2006 Sb., o sociálních službách, uzavřené v souladu s § 159 a násl. zákona č. 500/2004 Sb., správní řád, ve znění pozdějších předpisů, a se zákonem č. 250/2000 Sb., o rozpočtových pravidlech územních rozpočtů, ve znění pozdějších právních předpisů (dále jen „Smlouva“).</w:t>
      </w:r>
    </w:p>
    <w:p w:rsidR="003F096B" w:rsidRDefault="003F096B" w:rsidP="003F096B">
      <w:pPr>
        <w:spacing w:before="120" w:line="276" w:lineRule="auto"/>
        <w:rPr>
          <w:rFonts w:ascii="Arial" w:hAnsi="Arial" w:cs="Arial"/>
          <w:b/>
        </w:rPr>
      </w:pPr>
    </w:p>
    <w:p w:rsidR="008822C1" w:rsidRPr="006B11D1" w:rsidRDefault="008822C1" w:rsidP="003F096B">
      <w:pPr>
        <w:spacing w:before="120" w:line="276" w:lineRule="auto"/>
        <w:rPr>
          <w:rFonts w:ascii="Arial" w:hAnsi="Arial" w:cs="Arial"/>
          <w:b/>
        </w:rPr>
      </w:pPr>
      <w:r w:rsidRPr="006B11D1">
        <w:rPr>
          <w:rFonts w:ascii="Arial" w:hAnsi="Arial" w:cs="Arial"/>
          <w:b/>
        </w:rPr>
        <w:t>Znění článku V</w:t>
      </w:r>
      <w:r w:rsidR="00D54737">
        <w:rPr>
          <w:rFonts w:ascii="Arial" w:hAnsi="Arial" w:cs="Arial"/>
          <w:b/>
        </w:rPr>
        <w:t>I</w:t>
      </w:r>
      <w:r w:rsidRPr="006B11D1">
        <w:rPr>
          <w:rFonts w:ascii="Arial" w:hAnsi="Arial" w:cs="Arial"/>
          <w:b/>
        </w:rPr>
        <w:t>I odst. 4 Smlouvy:</w:t>
      </w:r>
    </w:p>
    <w:p w:rsidR="008822C1" w:rsidRDefault="008822C1" w:rsidP="003F096B">
      <w:pPr>
        <w:spacing w:before="120" w:line="276" w:lineRule="auto"/>
        <w:jc w:val="both"/>
        <w:rPr>
          <w:rFonts w:ascii="Arial" w:hAnsi="Arial" w:cs="Arial"/>
        </w:rPr>
      </w:pPr>
      <w:r w:rsidRPr="008822C1">
        <w:rPr>
          <w:rFonts w:ascii="Arial" w:hAnsi="Arial" w:cs="Arial"/>
        </w:rPr>
        <w:t xml:space="preserve">Příjemce bere na vědomí, že na </w:t>
      </w:r>
      <w:r w:rsidRPr="008822C1">
        <w:rPr>
          <w:rFonts w:ascii="Arial" w:hAnsi="Arial" w:cs="Arial"/>
          <w:u w:val="single"/>
        </w:rPr>
        <w:t>úhradu jiné části</w:t>
      </w:r>
      <w:r w:rsidRPr="008822C1">
        <w:rPr>
          <w:rFonts w:ascii="Arial" w:hAnsi="Arial" w:cs="Arial"/>
        </w:rPr>
        <w:t xml:space="preserve"> nákladů financovaných z účelové dotace na poskytování SOHZ nesmí přijmout podporu de minimis, jinak se vystavuje nebezpečí vrácení účelové dotace.</w:t>
      </w:r>
    </w:p>
    <w:p w:rsidR="00DB1966" w:rsidRDefault="00DB1966" w:rsidP="003F096B">
      <w:pPr>
        <w:spacing w:before="120" w:line="276" w:lineRule="auto"/>
        <w:jc w:val="both"/>
        <w:rPr>
          <w:rFonts w:ascii="Arial" w:hAnsi="Arial" w:cs="Arial"/>
        </w:rPr>
      </w:pPr>
    </w:p>
    <w:p w:rsidR="00DB1966" w:rsidRPr="006B11D1" w:rsidRDefault="00DB1966" w:rsidP="003F096B">
      <w:pPr>
        <w:spacing w:before="120" w:line="276" w:lineRule="auto"/>
        <w:jc w:val="both"/>
        <w:rPr>
          <w:rFonts w:ascii="Arial" w:hAnsi="Arial" w:cs="Arial"/>
          <w:b/>
        </w:rPr>
      </w:pPr>
      <w:r w:rsidRPr="006B11D1">
        <w:rPr>
          <w:rFonts w:ascii="Arial" w:hAnsi="Arial" w:cs="Arial"/>
          <w:b/>
        </w:rPr>
        <w:t>Právní úprava:</w:t>
      </w:r>
    </w:p>
    <w:p w:rsidR="00DB1966" w:rsidRDefault="00DB1966" w:rsidP="003F096B">
      <w:pPr>
        <w:pStyle w:val="Odstavecseseznamem"/>
        <w:numPr>
          <w:ilvl w:val="0"/>
          <w:numId w:val="1"/>
        </w:numPr>
        <w:spacing w:before="120" w:line="276" w:lineRule="auto"/>
        <w:ind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Poskytování podpory de minimis se řídí Nařízeními komise č. 360/2012 ze dne 25. 4. 2012 a 1407/2013 ze dne 18. 12. 2013</w:t>
      </w:r>
      <w:r w:rsidR="009A19DB">
        <w:rPr>
          <w:rFonts w:ascii="Arial" w:hAnsi="Arial" w:cs="Arial"/>
        </w:rPr>
        <w:t>:</w:t>
      </w:r>
    </w:p>
    <w:p w:rsidR="00DB1966" w:rsidRDefault="00DB1966" w:rsidP="003F096B">
      <w:pPr>
        <w:pStyle w:val="Odstavecseseznamem"/>
        <w:numPr>
          <w:ilvl w:val="1"/>
          <w:numId w:val="1"/>
        </w:numPr>
        <w:spacing w:before="120" w:line="276" w:lineRule="auto"/>
        <w:ind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Nařízení komise č. 360/2012 se vztahuje na poskytování podpory de minimis podnikům </w:t>
      </w:r>
      <w:r w:rsidRPr="003F096B">
        <w:rPr>
          <w:rFonts w:ascii="Arial" w:hAnsi="Arial" w:cs="Arial"/>
          <w:u w:val="single"/>
        </w:rPr>
        <w:t>poskytujícím služby obecného hospodářského zájmu</w:t>
      </w:r>
      <w:r>
        <w:rPr>
          <w:rFonts w:ascii="Arial" w:hAnsi="Arial" w:cs="Arial"/>
        </w:rPr>
        <w:t>, pokud byly k jejich poskytování pověřeny poskytovatelem podpory (dotace, příspěvku).</w:t>
      </w:r>
    </w:p>
    <w:p w:rsidR="00DB1966" w:rsidRDefault="00DB1966" w:rsidP="003F096B">
      <w:pPr>
        <w:pStyle w:val="Odstavecseseznamem"/>
        <w:numPr>
          <w:ilvl w:val="1"/>
          <w:numId w:val="1"/>
        </w:numPr>
        <w:spacing w:before="120" w:line="276" w:lineRule="auto"/>
        <w:ind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Nařízení komise č. 1407/2013 řeší poskytování </w:t>
      </w:r>
      <w:r w:rsidR="00B538CF">
        <w:rPr>
          <w:rFonts w:ascii="Arial" w:hAnsi="Arial" w:cs="Arial"/>
        </w:rPr>
        <w:t xml:space="preserve">podpory de minimis, </w:t>
      </w:r>
      <w:r w:rsidR="00B538CF" w:rsidRPr="003F096B">
        <w:rPr>
          <w:rFonts w:ascii="Arial" w:hAnsi="Arial" w:cs="Arial"/>
          <w:u w:val="single"/>
        </w:rPr>
        <w:t>pokud nebyl podnik pověřen</w:t>
      </w:r>
      <w:r w:rsidR="00B538CF">
        <w:rPr>
          <w:rFonts w:ascii="Arial" w:hAnsi="Arial" w:cs="Arial"/>
        </w:rPr>
        <w:t xml:space="preserve"> poskytovatelem podpory (dotace, příspěvku) poskytováním služby obecného hospodářského zájmu.</w:t>
      </w:r>
    </w:p>
    <w:p w:rsidR="00B538CF" w:rsidRDefault="00B538CF" w:rsidP="003F096B">
      <w:pPr>
        <w:pStyle w:val="Odstavecseseznamem"/>
        <w:numPr>
          <w:ilvl w:val="0"/>
          <w:numId w:val="1"/>
        </w:numPr>
        <w:spacing w:before="120" w:line="276" w:lineRule="auto"/>
        <w:ind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Obě uvedená nařízení řeší výslovně možnost kumulace s jinými formami podpory</w:t>
      </w:r>
      <w:r w:rsidR="009A19DB">
        <w:rPr>
          <w:rFonts w:ascii="Arial" w:hAnsi="Arial" w:cs="Arial"/>
        </w:rPr>
        <w:t>:</w:t>
      </w:r>
    </w:p>
    <w:p w:rsidR="00B538CF" w:rsidRDefault="00B538CF" w:rsidP="003F096B">
      <w:pPr>
        <w:pStyle w:val="Odstavecseseznamem"/>
        <w:numPr>
          <w:ilvl w:val="1"/>
          <w:numId w:val="1"/>
        </w:numPr>
        <w:spacing w:before="120" w:line="276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Podle článku 2 odst. 8 Nařízení komise č. 360/2012 </w:t>
      </w:r>
      <w:r w:rsidRPr="003F096B">
        <w:rPr>
          <w:rFonts w:ascii="Arial" w:hAnsi="Arial" w:cs="Arial"/>
          <w:u w:val="single"/>
        </w:rPr>
        <w:t>není možná kumulace s žádnou vyrovnávací platbou na tutéž službu</w:t>
      </w:r>
      <w:r>
        <w:rPr>
          <w:rFonts w:ascii="Arial" w:hAnsi="Arial" w:cs="Arial"/>
        </w:rPr>
        <w:t xml:space="preserve"> obecného hospodářského zájmu bez ohledu na to, zda tato vyrovnávací platba představu</w:t>
      </w:r>
      <w:r w:rsidR="003F096B">
        <w:rPr>
          <w:rFonts w:ascii="Arial" w:hAnsi="Arial" w:cs="Arial"/>
        </w:rPr>
        <w:t>je</w:t>
      </w:r>
      <w:r>
        <w:rPr>
          <w:rFonts w:ascii="Arial" w:hAnsi="Arial" w:cs="Arial"/>
        </w:rPr>
        <w:t>, nebo nepředstavuje státní podporu. Pokud je tedy podniku poskytnuta podpora de minimis podle Nařízení komise č. 360/2012</w:t>
      </w:r>
      <w:r w:rsidR="009A19DB">
        <w:rPr>
          <w:rFonts w:ascii="Arial" w:hAnsi="Arial" w:cs="Arial"/>
        </w:rPr>
        <w:t xml:space="preserve"> (de </w:t>
      </w:r>
      <w:proofErr w:type="spellStart"/>
      <w:r w:rsidR="009A19DB">
        <w:rPr>
          <w:rFonts w:ascii="Arial" w:hAnsi="Arial" w:cs="Arial"/>
        </w:rPr>
        <w:t>minimis</w:t>
      </w:r>
      <w:proofErr w:type="spellEnd"/>
      <w:r w:rsidR="009A19DB">
        <w:rPr>
          <w:rFonts w:ascii="Arial" w:hAnsi="Arial" w:cs="Arial"/>
        </w:rPr>
        <w:t xml:space="preserve"> SOH</w:t>
      </w:r>
      <w:r w:rsidR="003E0182">
        <w:rPr>
          <w:rFonts w:ascii="Arial" w:hAnsi="Arial" w:cs="Arial"/>
        </w:rPr>
        <w:t>Z</w:t>
      </w:r>
      <w:r w:rsidR="009A19DB">
        <w:rPr>
          <w:rFonts w:ascii="Arial" w:hAnsi="Arial" w:cs="Arial"/>
        </w:rPr>
        <w:t>)</w:t>
      </w:r>
      <w:r>
        <w:rPr>
          <w:rFonts w:ascii="Arial" w:hAnsi="Arial" w:cs="Arial"/>
        </w:rPr>
        <w:t>, není možné poskytnout vyrovnávací platbu na tutéž službu.</w:t>
      </w:r>
    </w:p>
    <w:p w:rsidR="00B538CF" w:rsidRPr="00D33B77" w:rsidRDefault="00B538CF" w:rsidP="003F096B">
      <w:pPr>
        <w:pStyle w:val="Odstavecseseznamem"/>
        <w:numPr>
          <w:ilvl w:val="1"/>
          <w:numId w:val="1"/>
        </w:numPr>
        <w:spacing w:before="120" w:line="276" w:lineRule="auto"/>
        <w:contextualSpacing w:val="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Podle článku 5 odst. 2 Nařízení komise č. 1407/2013 podporu de </w:t>
      </w:r>
      <w:proofErr w:type="spellStart"/>
      <w:r>
        <w:rPr>
          <w:rFonts w:ascii="Arial" w:hAnsi="Arial" w:cs="Arial"/>
        </w:rPr>
        <w:t>minimis</w:t>
      </w:r>
      <w:proofErr w:type="spellEnd"/>
      <w:r>
        <w:rPr>
          <w:rFonts w:ascii="Arial" w:hAnsi="Arial" w:cs="Arial"/>
        </w:rPr>
        <w:t xml:space="preserve"> </w:t>
      </w:r>
      <w:r w:rsidR="009A19DB">
        <w:rPr>
          <w:rFonts w:ascii="Arial" w:hAnsi="Arial" w:cs="Arial"/>
        </w:rPr>
        <w:t>(</w:t>
      </w:r>
      <w:r w:rsidR="003E0182">
        <w:rPr>
          <w:rFonts w:ascii="Arial" w:hAnsi="Arial" w:cs="Arial"/>
        </w:rPr>
        <w:t>tzv. „</w:t>
      </w:r>
      <w:r w:rsidR="009A19DB">
        <w:rPr>
          <w:rFonts w:ascii="Arial" w:hAnsi="Arial" w:cs="Arial"/>
        </w:rPr>
        <w:t>obecná</w:t>
      </w:r>
      <w:r w:rsidR="003E0182">
        <w:rPr>
          <w:rFonts w:ascii="Arial" w:hAnsi="Arial" w:cs="Arial"/>
        </w:rPr>
        <w:t>“</w:t>
      </w:r>
      <w:r w:rsidR="009A19DB">
        <w:rPr>
          <w:rFonts w:ascii="Arial" w:hAnsi="Arial" w:cs="Arial"/>
        </w:rPr>
        <w:t xml:space="preserve"> de </w:t>
      </w:r>
      <w:proofErr w:type="spellStart"/>
      <w:r w:rsidR="009A19DB">
        <w:rPr>
          <w:rFonts w:ascii="Arial" w:hAnsi="Arial" w:cs="Arial"/>
        </w:rPr>
        <w:t>minimis</w:t>
      </w:r>
      <w:proofErr w:type="spellEnd"/>
      <w:r w:rsidR="009A19DB">
        <w:rPr>
          <w:rFonts w:ascii="Arial" w:hAnsi="Arial" w:cs="Arial"/>
        </w:rPr>
        <w:t xml:space="preserve">) </w:t>
      </w:r>
      <w:r>
        <w:rPr>
          <w:rFonts w:ascii="Arial" w:hAnsi="Arial" w:cs="Arial"/>
        </w:rPr>
        <w:t xml:space="preserve">nelze kumulovat se státní podporou na tytéž způsobilé náklady nebo se státní podporou na tatáž opatření rizikového financování, </w:t>
      </w:r>
      <w:r w:rsidRPr="009A19DB">
        <w:rPr>
          <w:rFonts w:ascii="Arial" w:hAnsi="Arial" w:cs="Arial"/>
          <w:u w:val="single"/>
        </w:rPr>
        <w:t>pokud by taková kumulace vedla k překročení nejvyšší příslušné intenzity podpory</w:t>
      </w:r>
      <w:r>
        <w:rPr>
          <w:rFonts w:ascii="Arial" w:hAnsi="Arial" w:cs="Arial"/>
        </w:rPr>
        <w:t xml:space="preserve"> či výše podpory, která je pro specifické okolnosti každého případu stanovena v nařízení o blokové výjimce nebo v rozhodnutí </w:t>
      </w:r>
      <w:r>
        <w:rPr>
          <w:rFonts w:ascii="Arial" w:hAnsi="Arial" w:cs="Arial"/>
        </w:rPr>
        <w:lastRenderedPageBreak/>
        <w:t xml:space="preserve">Komise. </w:t>
      </w:r>
      <w:r w:rsidRPr="00D33B77">
        <w:rPr>
          <w:rFonts w:ascii="Arial" w:hAnsi="Arial" w:cs="Arial"/>
          <w:u w:val="single"/>
        </w:rPr>
        <w:t xml:space="preserve">Pokud je tedy podniku poskytnuta podpora de minimis podle Nařízení Komise č. </w:t>
      </w:r>
      <w:r w:rsidR="003F096B" w:rsidRPr="00D33B77">
        <w:rPr>
          <w:rFonts w:ascii="Arial" w:hAnsi="Arial" w:cs="Arial"/>
          <w:u w:val="single"/>
        </w:rPr>
        <w:t>1407/2013</w:t>
      </w:r>
      <w:r w:rsidRPr="00D33B77">
        <w:rPr>
          <w:rFonts w:ascii="Arial" w:hAnsi="Arial" w:cs="Arial"/>
          <w:u w:val="single"/>
        </w:rPr>
        <w:t>, je možná kumulace</w:t>
      </w:r>
      <w:r w:rsidR="003E0182">
        <w:rPr>
          <w:rFonts w:ascii="Arial" w:hAnsi="Arial" w:cs="Arial"/>
          <w:u w:val="single"/>
        </w:rPr>
        <w:t>, ovšem</w:t>
      </w:r>
      <w:r w:rsidRPr="00D33B77">
        <w:rPr>
          <w:rFonts w:ascii="Arial" w:hAnsi="Arial" w:cs="Arial"/>
          <w:u w:val="single"/>
        </w:rPr>
        <w:t xml:space="preserve"> </w:t>
      </w:r>
      <w:r w:rsidR="003E0182">
        <w:rPr>
          <w:rFonts w:ascii="Arial" w:hAnsi="Arial" w:cs="Arial"/>
          <w:u w:val="single"/>
        </w:rPr>
        <w:t>pouze</w:t>
      </w:r>
      <w:r w:rsidRPr="00D33B77">
        <w:rPr>
          <w:rFonts w:ascii="Arial" w:hAnsi="Arial" w:cs="Arial"/>
          <w:u w:val="single"/>
        </w:rPr>
        <w:t xml:space="preserve"> do výše stanovené maximální vyrovnávací platby vyplývající z pověřovacího aktu</w:t>
      </w:r>
      <w:r w:rsidR="003E0182">
        <w:rPr>
          <w:rFonts w:ascii="Arial" w:hAnsi="Arial" w:cs="Arial"/>
          <w:u w:val="single"/>
        </w:rPr>
        <w:t xml:space="preserve"> (článek II Smlouvy)</w:t>
      </w:r>
      <w:r w:rsidRPr="00D33B77">
        <w:rPr>
          <w:rFonts w:ascii="Arial" w:hAnsi="Arial" w:cs="Arial"/>
          <w:u w:val="single"/>
        </w:rPr>
        <w:t>.</w:t>
      </w:r>
    </w:p>
    <w:p w:rsidR="00B538CF" w:rsidRDefault="00B538CF" w:rsidP="003F096B">
      <w:pPr>
        <w:spacing w:before="120" w:line="276" w:lineRule="auto"/>
        <w:jc w:val="both"/>
        <w:rPr>
          <w:rFonts w:ascii="Arial" w:hAnsi="Arial" w:cs="Arial"/>
        </w:rPr>
      </w:pPr>
    </w:p>
    <w:p w:rsidR="00B538CF" w:rsidRPr="006B11D1" w:rsidRDefault="00B538CF" w:rsidP="003F096B">
      <w:pPr>
        <w:spacing w:before="120" w:line="276" w:lineRule="auto"/>
        <w:jc w:val="both"/>
        <w:rPr>
          <w:rFonts w:ascii="Arial" w:hAnsi="Arial" w:cs="Arial"/>
          <w:b/>
        </w:rPr>
      </w:pPr>
      <w:r w:rsidRPr="006B11D1">
        <w:rPr>
          <w:rFonts w:ascii="Arial" w:hAnsi="Arial" w:cs="Arial"/>
          <w:b/>
        </w:rPr>
        <w:t>Závěr:</w:t>
      </w:r>
    </w:p>
    <w:p w:rsidR="00B538CF" w:rsidRPr="009A53FE" w:rsidRDefault="00B538CF" w:rsidP="00D33B77">
      <w:pPr>
        <w:pStyle w:val="Odstavecseseznamem"/>
        <w:numPr>
          <w:ilvl w:val="0"/>
          <w:numId w:val="2"/>
        </w:numPr>
        <w:spacing w:before="120" w:line="276" w:lineRule="auto"/>
        <w:ind w:left="357" w:hanging="357"/>
        <w:contextualSpacing w:val="0"/>
        <w:jc w:val="both"/>
        <w:rPr>
          <w:rFonts w:ascii="Arial" w:hAnsi="Arial" w:cs="Arial"/>
        </w:rPr>
      </w:pPr>
      <w:r w:rsidRPr="009A53FE">
        <w:rPr>
          <w:rFonts w:ascii="Arial" w:hAnsi="Arial" w:cs="Arial"/>
        </w:rPr>
        <w:t>Ustanovení čl. V</w:t>
      </w:r>
      <w:r w:rsidR="00D54737">
        <w:rPr>
          <w:rFonts w:ascii="Arial" w:hAnsi="Arial" w:cs="Arial"/>
        </w:rPr>
        <w:t>I</w:t>
      </w:r>
      <w:r w:rsidRPr="009A53FE">
        <w:rPr>
          <w:rFonts w:ascii="Arial" w:hAnsi="Arial" w:cs="Arial"/>
        </w:rPr>
        <w:t>I odst. 4 neukládá příjemci dotace žádnou povinnost. Jedná se o deklaratorní ustanovení, kterým poskyt</w:t>
      </w:r>
      <w:r w:rsidR="006B11D1" w:rsidRPr="009A53FE">
        <w:rPr>
          <w:rFonts w:ascii="Arial" w:hAnsi="Arial" w:cs="Arial"/>
        </w:rPr>
        <w:t>ovatel dotace (Olomoucký kraj)</w:t>
      </w:r>
      <w:r w:rsidRPr="009A53FE">
        <w:rPr>
          <w:rFonts w:ascii="Arial" w:hAnsi="Arial" w:cs="Arial"/>
        </w:rPr>
        <w:t xml:space="preserve"> </w:t>
      </w:r>
      <w:r w:rsidR="006B11D1" w:rsidRPr="009A53FE">
        <w:rPr>
          <w:rFonts w:ascii="Arial" w:hAnsi="Arial" w:cs="Arial"/>
        </w:rPr>
        <w:t xml:space="preserve">výslovně </w:t>
      </w:r>
      <w:bookmarkStart w:id="0" w:name="_GoBack"/>
      <w:bookmarkEnd w:id="0"/>
      <w:r w:rsidR="006B11D1" w:rsidRPr="009A53FE">
        <w:rPr>
          <w:rFonts w:ascii="Arial" w:hAnsi="Arial" w:cs="Arial"/>
          <w:u w:val="single"/>
        </w:rPr>
        <w:t>upozorňuje</w:t>
      </w:r>
      <w:r w:rsidRPr="009A53FE">
        <w:rPr>
          <w:rFonts w:ascii="Arial" w:hAnsi="Arial" w:cs="Arial"/>
        </w:rPr>
        <w:t xml:space="preserve"> </w:t>
      </w:r>
      <w:r w:rsidR="00D33B77" w:rsidRPr="009A53FE">
        <w:rPr>
          <w:rFonts w:ascii="Arial" w:hAnsi="Arial" w:cs="Arial"/>
        </w:rPr>
        <w:t xml:space="preserve">příjemce dotace </w:t>
      </w:r>
      <w:r w:rsidRPr="009A53FE">
        <w:rPr>
          <w:rFonts w:ascii="Arial" w:hAnsi="Arial" w:cs="Arial"/>
          <w:u w:val="single"/>
        </w:rPr>
        <w:t>na problematiku kumulací</w:t>
      </w:r>
      <w:r w:rsidRPr="009A53FE">
        <w:rPr>
          <w:rFonts w:ascii="Arial" w:hAnsi="Arial" w:cs="Arial"/>
        </w:rPr>
        <w:t xml:space="preserve"> vyrovnávací platby poskytnuté v rámci pověření poskytováním služeb obecného hospodářského zájmu a podpory de minimis</w:t>
      </w:r>
      <w:r w:rsidR="009A53FE" w:rsidRPr="009A53FE">
        <w:rPr>
          <w:rFonts w:ascii="Arial" w:hAnsi="Arial" w:cs="Arial"/>
        </w:rPr>
        <w:t xml:space="preserve"> a </w:t>
      </w:r>
      <w:r w:rsidR="009A53FE" w:rsidRPr="009A53FE">
        <w:rPr>
          <w:rFonts w:ascii="Arial" w:hAnsi="Arial" w:cs="Arial"/>
          <w:u w:val="single"/>
        </w:rPr>
        <w:t xml:space="preserve">na </w:t>
      </w:r>
      <w:r w:rsidR="006B11D1" w:rsidRPr="009A53FE">
        <w:rPr>
          <w:rFonts w:ascii="Arial" w:hAnsi="Arial" w:cs="Arial"/>
          <w:u w:val="single"/>
        </w:rPr>
        <w:t>riziko přijetí podpory de minimis v případě, že není možná kumulace</w:t>
      </w:r>
      <w:r w:rsidR="006B11D1" w:rsidRPr="009A53FE">
        <w:rPr>
          <w:rFonts w:ascii="Arial" w:hAnsi="Arial" w:cs="Arial"/>
        </w:rPr>
        <w:t>.</w:t>
      </w:r>
    </w:p>
    <w:p w:rsidR="009A53FE" w:rsidRDefault="006B11D1" w:rsidP="00D33B77">
      <w:pPr>
        <w:pStyle w:val="Odstavecseseznamem"/>
        <w:numPr>
          <w:ilvl w:val="0"/>
          <w:numId w:val="2"/>
        </w:numPr>
        <w:spacing w:before="120" w:line="276" w:lineRule="auto"/>
        <w:ind w:left="357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Příjemce dotace na základě Smlouvy </w:t>
      </w:r>
      <w:r w:rsidRPr="009A53FE">
        <w:rPr>
          <w:rFonts w:ascii="Arial" w:hAnsi="Arial" w:cs="Arial"/>
          <w:u w:val="single"/>
        </w:rPr>
        <w:t xml:space="preserve">může přijmout podporu de minimis poskytnutou podle Nařízení komise č. </w:t>
      </w:r>
      <w:r w:rsidR="003F096B" w:rsidRPr="009A53FE">
        <w:rPr>
          <w:rFonts w:ascii="Arial" w:hAnsi="Arial" w:cs="Arial"/>
          <w:u w:val="single"/>
        </w:rPr>
        <w:t>1407/2013</w:t>
      </w:r>
      <w:r w:rsidR="009A53FE">
        <w:rPr>
          <w:rFonts w:ascii="Arial" w:hAnsi="Arial" w:cs="Arial"/>
          <w:u w:val="single"/>
        </w:rPr>
        <w:t xml:space="preserve"> (</w:t>
      </w:r>
      <w:r w:rsidR="003E0182">
        <w:rPr>
          <w:rFonts w:ascii="Arial" w:hAnsi="Arial" w:cs="Arial"/>
          <w:u w:val="single"/>
        </w:rPr>
        <w:t>„</w:t>
      </w:r>
      <w:r w:rsidR="009A53FE">
        <w:rPr>
          <w:rFonts w:ascii="Arial" w:hAnsi="Arial" w:cs="Arial"/>
          <w:u w:val="single"/>
        </w:rPr>
        <w:t>obecná</w:t>
      </w:r>
      <w:r w:rsidR="003E0182">
        <w:rPr>
          <w:rFonts w:ascii="Arial" w:hAnsi="Arial" w:cs="Arial"/>
          <w:u w:val="single"/>
        </w:rPr>
        <w:t>“</w:t>
      </w:r>
      <w:r w:rsidR="009A53FE">
        <w:rPr>
          <w:rFonts w:ascii="Arial" w:hAnsi="Arial" w:cs="Arial"/>
          <w:u w:val="single"/>
        </w:rPr>
        <w:t xml:space="preserve"> de </w:t>
      </w:r>
      <w:proofErr w:type="spellStart"/>
      <w:r w:rsidR="009A53FE">
        <w:rPr>
          <w:rFonts w:ascii="Arial" w:hAnsi="Arial" w:cs="Arial"/>
          <w:u w:val="single"/>
        </w:rPr>
        <w:t>minimis</w:t>
      </w:r>
      <w:proofErr w:type="spellEnd"/>
      <w:r w:rsidR="009A53FE">
        <w:rPr>
          <w:rFonts w:ascii="Arial" w:hAnsi="Arial" w:cs="Arial"/>
          <w:u w:val="single"/>
        </w:rPr>
        <w:t>)</w:t>
      </w:r>
      <w:r w:rsidR="009A53FE">
        <w:rPr>
          <w:rFonts w:ascii="Arial" w:hAnsi="Arial" w:cs="Arial"/>
        </w:rPr>
        <w:t>, přičemž p</w:t>
      </w:r>
      <w:r>
        <w:rPr>
          <w:rFonts w:ascii="Arial" w:hAnsi="Arial" w:cs="Arial"/>
        </w:rPr>
        <w:t>oskytovatel podpory by měl vždy uvést, podle kterého Nařízení komise podporu de minimis poskytuje.</w:t>
      </w:r>
      <w:r w:rsidR="009A53FE">
        <w:rPr>
          <w:rFonts w:ascii="Arial" w:hAnsi="Arial" w:cs="Arial"/>
        </w:rPr>
        <w:t xml:space="preserve"> Tzn. kumulace podpory de minimis poskytnuté podle Nařízení komise č. 1407/2013 (</w:t>
      </w:r>
      <w:r w:rsidR="003E0182">
        <w:rPr>
          <w:rFonts w:ascii="Arial" w:hAnsi="Arial" w:cs="Arial"/>
        </w:rPr>
        <w:t>„</w:t>
      </w:r>
      <w:r w:rsidR="009A53FE">
        <w:rPr>
          <w:rFonts w:ascii="Arial" w:hAnsi="Arial" w:cs="Arial"/>
        </w:rPr>
        <w:t>obecná</w:t>
      </w:r>
      <w:r w:rsidR="003E0182">
        <w:rPr>
          <w:rFonts w:ascii="Arial" w:hAnsi="Arial" w:cs="Arial"/>
        </w:rPr>
        <w:t>“</w:t>
      </w:r>
      <w:r w:rsidR="009A53FE">
        <w:rPr>
          <w:rFonts w:ascii="Arial" w:hAnsi="Arial" w:cs="Arial"/>
        </w:rPr>
        <w:t xml:space="preserve"> de minimis) a dotace poskytnuté jako části vyrovnávací platby je možná za těchto podmínek:</w:t>
      </w:r>
    </w:p>
    <w:p w:rsidR="009A53FE" w:rsidRDefault="009A53FE" w:rsidP="009A53FE">
      <w:pPr>
        <w:pStyle w:val="Odstavecseseznamem"/>
        <w:numPr>
          <w:ilvl w:val="1"/>
          <w:numId w:val="2"/>
        </w:numPr>
        <w:spacing w:before="120" w:line="276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příjemce podpory de minimis podle Nařízení komise č. 1407/2013 musí </w:t>
      </w:r>
      <w:r w:rsidRPr="009A53FE">
        <w:rPr>
          <w:rFonts w:ascii="Arial" w:hAnsi="Arial" w:cs="Arial"/>
          <w:u w:val="single"/>
        </w:rPr>
        <w:t>při vypořádání dotace uvést mezi zdroje</w:t>
      </w:r>
      <w:r>
        <w:rPr>
          <w:rFonts w:ascii="Arial" w:hAnsi="Arial" w:cs="Arial"/>
        </w:rPr>
        <w:t xml:space="preserve"> poskytnuté z veřejných rozpočtů rovněž takto přijatou podporu de minimis; </w:t>
      </w:r>
    </w:p>
    <w:p w:rsidR="009A53FE" w:rsidRDefault="009A53FE" w:rsidP="009A53FE">
      <w:pPr>
        <w:pStyle w:val="Odstavecseseznamem"/>
        <w:numPr>
          <w:ilvl w:val="1"/>
          <w:numId w:val="2"/>
        </w:numPr>
        <w:spacing w:before="120" w:line="276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součet všech dotací poskytnutých z veřejných rozpočtů (včetně podpory de minimis podle Nařízení komise č. 1407/2013) nesmí přesáhnout stanovenou maximální vyrovnávací platbu; </w:t>
      </w:r>
    </w:p>
    <w:p w:rsidR="006B11D1" w:rsidRDefault="009A53FE" w:rsidP="009A53FE">
      <w:pPr>
        <w:pStyle w:val="Odstavecseseznamem"/>
        <w:numPr>
          <w:ilvl w:val="1"/>
          <w:numId w:val="2"/>
        </w:numPr>
        <w:spacing w:before="120" w:line="276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pokud </w:t>
      </w:r>
      <w:r w:rsidRPr="009A53FE">
        <w:rPr>
          <w:rFonts w:ascii="Arial" w:hAnsi="Arial" w:cs="Arial"/>
        </w:rPr>
        <w:t>stanovenou maximální vyrovnávací platbu</w:t>
      </w:r>
      <w:r>
        <w:rPr>
          <w:rFonts w:ascii="Arial" w:hAnsi="Arial" w:cs="Arial"/>
        </w:rPr>
        <w:t xml:space="preserve"> přesáhne, bude se jednat o nadměrnou vyrovnávací platbu a příjemce dotace bude muset část dotace přesahující maximální vyrovnávací platbu vrátit v návaznosti na ustanovení čl. II odst. 6 Smlouvy.</w:t>
      </w:r>
    </w:p>
    <w:p w:rsidR="006B11D1" w:rsidRDefault="006B11D1" w:rsidP="00D33B77">
      <w:pPr>
        <w:pStyle w:val="Odstavecseseznamem"/>
        <w:numPr>
          <w:ilvl w:val="0"/>
          <w:numId w:val="2"/>
        </w:numPr>
        <w:spacing w:before="120" w:line="276" w:lineRule="auto"/>
        <w:ind w:left="357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Principy vyjádřené v tomto výkladovém stanovisku se vztahují </w:t>
      </w:r>
      <w:r w:rsidR="009A53FE">
        <w:rPr>
          <w:rFonts w:ascii="Arial" w:hAnsi="Arial" w:cs="Arial"/>
        </w:rPr>
        <w:t xml:space="preserve">rovněž </w:t>
      </w:r>
      <w:r>
        <w:rPr>
          <w:rFonts w:ascii="Arial" w:hAnsi="Arial" w:cs="Arial"/>
        </w:rPr>
        <w:t xml:space="preserve">na příspěvkové organizace zřizované Olomouckým krajem, jimž dotace podle ustanovení § 101a zákona č. 108/2006 Sb., </w:t>
      </w:r>
      <w:r w:rsidR="009E022C">
        <w:rPr>
          <w:rFonts w:ascii="Arial" w:hAnsi="Arial" w:cs="Arial"/>
        </w:rPr>
        <w:t>o sociálních službách, ve znění pozdějších předpisů, není poskytována na základě Smlouvy.</w:t>
      </w:r>
    </w:p>
    <w:p w:rsidR="006B11D1" w:rsidRDefault="006B11D1" w:rsidP="003F096B">
      <w:pPr>
        <w:spacing w:before="120" w:line="276" w:lineRule="auto"/>
        <w:jc w:val="both"/>
        <w:rPr>
          <w:rFonts w:ascii="Arial" w:hAnsi="Arial" w:cs="Arial"/>
        </w:rPr>
      </w:pPr>
    </w:p>
    <w:p w:rsidR="006B11D1" w:rsidRDefault="006B11D1" w:rsidP="003F096B">
      <w:pPr>
        <w:spacing w:before="120" w:line="276" w:lineRule="auto"/>
        <w:jc w:val="both"/>
        <w:rPr>
          <w:rFonts w:ascii="Arial" w:hAnsi="Arial" w:cs="Arial"/>
        </w:rPr>
      </w:pPr>
    </w:p>
    <w:p w:rsidR="006B11D1" w:rsidRDefault="006B11D1" w:rsidP="003F096B">
      <w:pPr>
        <w:spacing w:before="120" w:line="276" w:lineRule="auto"/>
        <w:jc w:val="both"/>
        <w:rPr>
          <w:rFonts w:ascii="Arial" w:hAnsi="Arial" w:cs="Arial"/>
        </w:rPr>
      </w:pPr>
    </w:p>
    <w:p w:rsidR="006B11D1" w:rsidRDefault="006B11D1" w:rsidP="003F096B">
      <w:pPr>
        <w:spacing w:before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 Olomouci 3. 3. 2015</w:t>
      </w:r>
    </w:p>
    <w:p w:rsidR="006B11D1" w:rsidRPr="006B11D1" w:rsidRDefault="006B11D1" w:rsidP="003F096B">
      <w:pPr>
        <w:spacing w:before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sociálních věcí Krajského úřadu Olomouckého kraje</w:t>
      </w:r>
    </w:p>
    <w:sectPr w:rsidR="006B11D1" w:rsidRPr="006B11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AC6249"/>
    <w:multiLevelType w:val="hybridMultilevel"/>
    <w:tmpl w:val="8A1CE76A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1DA7670"/>
    <w:multiLevelType w:val="hybridMultilevel"/>
    <w:tmpl w:val="E932E5E2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2C1"/>
    <w:rsid w:val="00046D87"/>
    <w:rsid w:val="00351305"/>
    <w:rsid w:val="003E0182"/>
    <w:rsid w:val="003F096B"/>
    <w:rsid w:val="00597FB2"/>
    <w:rsid w:val="006B11D1"/>
    <w:rsid w:val="008822C1"/>
    <w:rsid w:val="009A19DB"/>
    <w:rsid w:val="009A53FE"/>
    <w:rsid w:val="009E022C"/>
    <w:rsid w:val="00A62483"/>
    <w:rsid w:val="00B538CF"/>
    <w:rsid w:val="00B6514A"/>
    <w:rsid w:val="00D33B77"/>
    <w:rsid w:val="00D54737"/>
    <w:rsid w:val="00DB1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51B7E3"/>
  <w15:docId w15:val="{ABB3498D-50FC-452C-96D7-23CDBAE2D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B19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627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KÚOK</Company>
  <LinksUpToDate>false</LinksUpToDate>
  <CharactersWithSpaces>4321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Vočka Zbyněk</dc:creator>
  <cp:lastModifiedBy>Spáčilová Kateřina</cp:lastModifiedBy>
  <cp:revision>2</cp:revision>
  <dcterms:created xsi:type="dcterms:W3CDTF">2023-04-06T07:35:00Z</dcterms:created>
  <dcterms:modified xsi:type="dcterms:W3CDTF">2023-04-06T07:35:00Z</dcterms:modified>
</cp:coreProperties>
</file>