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BFC" w:rsidRDefault="00EF7BFC" w:rsidP="00EF7BFC">
      <w:pPr>
        <w:pStyle w:val="Default"/>
      </w:pPr>
    </w:p>
    <w:p w:rsidR="00EF7BFC" w:rsidRPr="00EF7BFC" w:rsidRDefault="00EF7BFC" w:rsidP="00EF7BFC">
      <w:pPr>
        <w:pStyle w:val="Default"/>
        <w:jc w:val="both"/>
        <w:rPr>
          <w:b/>
          <w:bCs/>
          <w:sz w:val="36"/>
          <w:szCs w:val="36"/>
          <w:u w:val="single"/>
        </w:rPr>
      </w:pPr>
      <w:r>
        <w:t xml:space="preserve"> </w:t>
      </w:r>
      <w:r w:rsidRPr="00EF7BFC">
        <w:rPr>
          <w:b/>
          <w:bCs/>
          <w:sz w:val="36"/>
          <w:szCs w:val="36"/>
          <w:u w:val="single"/>
        </w:rPr>
        <w:t>Manuál pro publicitu OPZ</w:t>
      </w:r>
      <w:r w:rsidR="009B7301">
        <w:rPr>
          <w:b/>
          <w:bCs/>
          <w:sz w:val="36"/>
          <w:szCs w:val="36"/>
          <w:u w:val="single"/>
        </w:rPr>
        <w:t>+</w:t>
      </w:r>
      <w:r w:rsidRPr="00EF7BFC">
        <w:rPr>
          <w:b/>
          <w:bCs/>
          <w:sz w:val="36"/>
          <w:szCs w:val="36"/>
          <w:u w:val="single"/>
        </w:rPr>
        <w:t xml:space="preserve"> v rámci realizace projektu „Azylové domy v Olomouckém kraji II.“ </w:t>
      </w:r>
    </w:p>
    <w:p w:rsidR="00EF7BFC" w:rsidRDefault="00EF7BFC" w:rsidP="00EF7BFC">
      <w:pPr>
        <w:pStyle w:val="Default"/>
        <w:jc w:val="both"/>
        <w:rPr>
          <w:sz w:val="36"/>
          <w:szCs w:val="36"/>
        </w:rPr>
      </w:pPr>
    </w:p>
    <w:p w:rsidR="00EF7BFC" w:rsidRPr="006C0A44" w:rsidRDefault="00EF7BFC" w:rsidP="00EF7BFC">
      <w:pPr>
        <w:pStyle w:val="Default"/>
        <w:numPr>
          <w:ilvl w:val="0"/>
          <w:numId w:val="1"/>
        </w:numPr>
        <w:jc w:val="both"/>
        <w:rPr>
          <w:b/>
          <w:bCs/>
        </w:rPr>
      </w:pPr>
      <w:r w:rsidRPr="006C0A44">
        <w:rPr>
          <w:b/>
          <w:bCs/>
        </w:rPr>
        <w:t xml:space="preserve">Povinnosti poskytovatelů sociálních služeb v oblasti informování a komunikace </w:t>
      </w:r>
    </w:p>
    <w:p w:rsidR="00EF7BFC" w:rsidRDefault="00EF7BFC" w:rsidP="00BA4CD7">
      <w:pPr>
        <w:pStyle w:val="Default"/>
        <w:jc w:val="both"/>
        <w:rPr>
          <w:sz w:val="32"/>
          <w:szCs w:val="32"/>
        </w:rPr>
      </w:pPr>
    </w:p>
    <w:p w:rsidR="00EF7BFC" w:rsidRDefault="00EF7BFC" w:rsidP="00EF7BFC">
      <w:pPr>
        <w:pStyle w:val="Default"/>
        <w:jc w:val="both"/>
        <w:rPr>
          <w:sz w:val="22"/>
          <w:szCs w:val="22"/>
        </w:rPr>
      </w:pPr>
      <w:r>
        <w:rPr>
          <w:sz w:val="22"/>
          <w:szCs w:val="22"/>
        </w:rPr>
        <w:t>Během realizace projektu je příjemce povinen informovat v</w:t>
      </w:r>
      <w:r w:rsidR="009B7301">
        <w:rPr>
          <w:sz w:val="22"/>
          <w:szCs w:val="22"/>
        </w:rPr>
        <w:t>eřejnost o podpoře získané z EU</w:t>
      </w:r>
      <w:r>
        <w:rPr>
          <w:sz w:val="22"/>
          <w:szCs w:val="22"/>
        </w:rPr>
        <w:t xml:space="preserve"> fondů tím, že: </w:t>
      </w:r>
    </w:p>
    <w:p w:rsidR="00EF7BFC" w:rsidRDefault="00EF7BFC" w:rsidP="00EF7BFC">
      <w:pPr>
        <w:pStyle w:val="Default"/>
        <w:numPr>
          <w:ilvl w:val="0"/>
          <w:numId w:val="4"/>
        </w:numPr>
        <w:jc w:val="both"/>
        <w:rPr>
          <w:sz w:val="22"/>
          <w:szCs w:val="22"/>
        </w:rPr>
      </w:pPr>
      <w:r>
        <w:rPr>
          <w:sz w:val="22"/>
          <w:szCs w:val="22"/>
        </w:rPr>
        <w:t xml:space="preserve">zveřejní na své internetové stránce, pokud taková stránka existuje, stručný popis projektu úměrný míře podpory včetně jeho cílů a výsledků a zdůrazní, že je na daný projekt poskytována finanční podpora EU; popis je doporučeno vložit při zahájení realizace projektu a následně jej dle potřeby aktualizovat; </w:t>
      </w:r>
    </w:p>
    <w:p w:rsidR="00EF7BFC" w:rsidRDefault="00EF7BFC" w:rsidP="00EF7BFC">
      <w:pPr>
        <w:pStyle w:val="Default"/>
        <w:ind w:left="720"/>
        <w:jc w:val="both"/>
        <w:rPr>
          <w:sz w:val="22"/>
          <w:szCs w:val="22"/>
        </w:rPr>
      </w:pPr>
    </w:p>
    <w:p w:rsidR="00EF7BFC" w:rsidRPr="001E2939" w:rsidRDefault="00EF7BFC" w:rsidP="00EF7BFC">
      <w:pPr>
        <w:pStyle w:val="Default"/>
        <w:numPr>
          <w:ilvl w:val="0"/>
          <w:numId w:val="4"/>
        </w:numPr>
        <w:jc w:val="both"/>
        <w:rPr>
          <w:color w:val="auto"/>
          <w:sz w:val="22"/>
          <w:szCs w:val="22"/>
        </w:rPr>
      </w:pPr>
      <w:r>
        <w:rPr>
          <w:sz w:val="22"/>
          <w:szCs w:val="22"/>
        </w:rPr>
        <w:t>umístí alespoň 1 povinný plakát velikosti minimálně A3 s informacemi o projektu v místě realizace projektu</w:t>
      </w:r>
      <w:r>
        <w:rPr>
          <w:sz w:val="10"/>
          <w:szCs w:val="10"/>
        </w:rPr>
        <w:t xml:space="preserve">83 </w:t>
      </w:r>
      <w:r>
        <w:rPr>
          <w:sz w:val="22"/>
          <w:szCs w:val="22"/>
        </w:rPr>
        <w:t>snadno viditelném pro veřejnost, jako jsou vstupní prostory budovy; umístění zajistí v návaznosti na zahájení realizace projektu a bude jej udržovat do termínu dokončení realizace pro</w:t>
      </w:r>
      <w:r w:rsidR="001E2939">
        <w:rPr>
          <w:sz w:val="22"/>
          <w:szCs w:val="22"/>
        </w:rPr>
        <w:t xml:space="preserve">jektu uvedeného v právním aktu. </w:t>
      </w:r>
      <w:r w:rsidRPr="001E2939">
        <w:rPr>
          <w:sz w:val="22"/>
          <w:szCs w:val="22"/>
        </w:rPr>
        <w:t xml:space="preserve">Pro vytvoření povinného plakátu, dočasné desky, stálé desky nebo billboardu je příjemce povinen využít </w:t>
      </w:r>
      <w:r w:rsidRPr="001E2939">
        <w:rPr>
          <w:bCs/>
          <w:color w:val="auto"/>
          <w:sz w:val="22"/>
          <w:szCs w:val="22"/>
        </w:rPr>
        <w:t>elektronické šablony</w:t>
      </w:r>
      <w:r w:rsidRPr="001E2939">
        <w:rPr>
          <w:sz w:val="22"/>
          <w:szCs w:val="22"/>
        </w:rPr>
        <w:t xml:space="preserve">, které jsou ke stažení na portálu </w:t>
      </w:r>
      <w:hyperlink r:id="rId7" w:history="1">
        <w:r w:rsidR="001E2939" w:rsidRPr="005A4B45">
          <w:rPr>
            <w:rStyle w:val="Hypertextovodkaz"/>
            <w:sz w:val="22"/>
            <w:szCs w:val="22"/>
          </w:rPr>
          <w:t>www.esfcr.cz</w:t>
        </w:r>
      </w:hyperlink>
      <w:r w:rsidR="001E2939">
        <w:rPr>
          <w:color w:val="0000FF"/>
          <w:sz w:val="22"/>
          <w:szCs w:val="22"/>
        </w:rPr>
        <w:t xml:space="preserve">  </w:t>
      </w:r>
      <w:r w:rsidR="001E2939" w:rsidRPr="001E2939">
        <w:rPr>
          <w:color w:val="auto"/>
          <w:sz w:val="22"/>
          <w:szCs w:val="22"/>
        </w:rPr>
        <w:t>v rámci Operačního programu Zaměstnanost Plus.</w:t>
      </w:r>
    </w:p>
    <w:p w:rsidR="001E2939" w:rsidRPr="001E2939" w:rsidRDefault="001E2939" w:rsidP="001E2939">
      <w:pPr>
        <w:pStyle w:val="Default"/>
        <w:ind w:left="720"/>
        <w:jc w:val="both"/>
        <w:rPr>
          <w:sz w:val="22"/>
          <w:szCs w:val="22"/>
        </w:rPr>
      </w:pPr>
    </w:p>
    <w:p w:rsidR="00D71AB4" w:rsidRDefault="00EF7BFC" w:rsidP="00217F6F">
      <w:pPr>
        <w:pStyle w:val="Default"/>
        <w:jc w:val="both"/>
        <w:rPr>
          <w:sz w:val="22"/>
          <w:szCs w:val="22"/>
        </w:rPr>
      </w:pPr>
      <w:r>
        <w:rPr>
          <w:sz w:val="22"/>
          <w:szCs w:val="22"/>
        </w:rPr>
        <w:t>V rámci všech informačních a komunikačních aktivit a na výstupech týkajících se projektu určených veřejnosti dává příjemce najevo podporu z ESI fondů tím, že použije povinné prvky vizuální identity OPZ</w:t>
      </w:r>
      <w:r w:rsidR="009B7301">
        <w:rPr>
          <w:sz w:val="22"/>
          <w:szCs w:val="22"/>
        </w:rPr>
        <w:t>+</w:t>
      </w:r>
      <w:r>
        <w:rPr>
          <w:sz w:val="22"/>
          <w:szCs w:val="22"/>
        </w:rPr>
        <w:t>. Výčet informačních a komunikačních aktivit a výstupů, kde je nutné použít povinné prvky vizuální identity OPZ</w:t>
      </w:r>
      <w:r w:rsidR="009B7301">
        <w:rPr>
          <w:sz w:val="22"/>
          <w:szCs w:val="22"/>
        </w:rPr>
        <w:t>+</w:t>
      </w:r>
      <w:r>
        <w:rPr>
          <w:sz w:val="22"/>
          <w:szCs w:val="22"/>
        </w:rPr>
        <w:t>, je obsažen v kap. 2. Povinné prvky vizuální identity OPZ</w:t>
      </w:r>
      <w:r w:rsidR="00217F6F">
        <w:rPr>
          <w:sz w:val="22"/>
          <w:szCs w:val="22"/>
        </w:rPr>
        <w:t>+</w:t>
      </w:r>
      <w:r>
        <w:rPr>
          <w:sz w:val="22"/>
          <w:szCs w:val="22"/>
        </w:rPr>
        <w:t xml:space="preserve"> a jejich technické parametry jsou popsány v kap. </w:t>
      </w:r>
      <w:r w:rsidR="00D71AB4">
        <w:rPr>
          <w:sz w:val="22"/>
          <w:szCs w:val="22"/>
        </w:rPr>
        <w:t>2.</w:t>
      </w:r>
    </w:p>
    <w:p w:rsidR="009B7301" w:rsidRDefault="009B7301" w:rsidP="00217F6F">
      <w:pPr>
        <w:pStyle w:val="Default"/>
        <w:jc w:val="both"/>
        <w:rPr>
          <w:sz w:val="22"/>
          <w:szCs w:val="22"/>
        </w:rPr>
      </w:pPr>
    </w:p>
    <w:p w:rsidR="00EF7BFC" w:rsidRDefault="00EF7BFC" w:rsidP="00217F6F">
      <w:pPr>
        <w:pStyle w:val="Default"/>
        <w:jc w:val="both"/>
        <w:rPr>
          <w:sz w:val="22"/>
          <w:szCs w:val="22"/>
        </w:rPr>
      </w:pPr>
      <w:r>
        <w:rPr>
          <w:sz w:val="22"/>
          <w:szCs w:val="22"/>
        </w:rPr>
        <w:t>Příjemce musí zajistit, aby subjekty, které se na realizaci projektu podílí (cílové skupiny – účastníci projektů/podpořené osoby, partneři s finančním příspěvkem, partneři bez finančního příspěvku), byly informovány o financování projektu z</w:t>
      </w:r>
      <w:r w:rsidR="009B7301">
        <w:rPr>
          <w:sz w:val="22"/>
          <w:szCs w:val="22"/>
        </w:rPr>
        <w:t> </w:t>
      </w:r>
      <w:r>
        <w:rPr>
          <w:sz w:val="22"/>
          <w:szCs w:val="22"/>
        </w:rPr>
        <w:t>OPZ</w:t>
      </w:r>
      <w:r w:rsidR="009B7301">
        <w:rPr>
          <w:sz w:val="22"/>
          <w:szCs w:val="22"/>
        </w:rPr>
        <w:t>+.</w:t>
      </w:r>
      <w:r>
        <w:rPr>
          <w:sz w:val="22"/>
          <w:szCs w:val="22"/>
        </w:rPr>
        <w:t xml:space="preserve"> </w:t>
      </w:r>
    </w:p>
    <w:p w:rsidR="009B7301" w:rsidRDefault="009B7301" w:rsidP="00217F6F">
      <w:pPr>
        <w:pStyle w:val="Default"/>
        <w:jc w:val="both"/>
        <w:rPr>
          <w:sz w:val="22"/>
          <w:szCs w:val="22"/>
        </w:rPr>
      </w:pPr>
    </w:p>
    <w:p w:rsidR="00EF7BFC" w:rsidRDefault="00EF7BFC" w:rsidP="00EF7BFC">
      <w:pPr>
        <w:pStyle w:val="Default"/>
        <w:jc w:val="both"/>
        <w:rPr>
          <w:sz w:val="22"/>
          <w:szCs w:val="22"/>
        </w:rPr>
      </w:pPr>
      <w:r>
        <w:rPr>
          <w:sz w:val="22"/>
          <w:szCs w:val="22"/>
        </w:rPr>
        <w:t xml:space="preserve">Nedodržení těchto povinností podléhá sankcím, tj. zakládá na základě zákona č. 218/2000 Sb., rozpočtových pravidel, porušení rozpočtové kázně, resp. neoprávněné použití podpory. </w:t>
      </w:r>
    </w:p>
    <w:p w:rsidR="001E2939" w:rsidRDefault="001E2939" w:rsidP="00EF7BFC">
      <w:pPr>
        <w:pStyle w:val="Default"/>
        <w:jc w:val="both"/>
        <w:rPr>
          <w:sz w:val="16"/>
          <w:szCs w:val="16"/>
        </w:rPr>
      </w:pPr>
    </w:p>
    <w:p w:rsidR="00DC3800" w:rsidRPr="006C0A44" w:rsidRDefault="00DC3800" w:rsidP="00EF7BFC">
      <w:pPr>
        <w:pStyle w:val="Default"/>
        <w:jc w:val="both"/>
        <w:rPr>
          <w:b/>
          <w:color w:val="auto"/>
        </w:rPr>
      </w:pPr>
    </w:p>
    <w:p w:rsidR="006C0A44" w:rsidRPr="006C0A44" w:rsidRDefault="006C0A44" w:rsidP="006C0A44">
      <w:pPr>
        <w:pStyle w:val="Default"/>
        <w:numPr>
          <w:ilvl w:val="0"/>
          <w:numId w:val="1"/>
        </w:numPr>
        <w:jc w:val="both"/>
        <w:rPr>
          <w:b/>
          <w:color w:val="auto"/>
        </w:rPr>
      </w:pPr>
      <w:r w:rsidRPr="006C0A44">
        <w:rPr>
          <w:b/>
          <w:color w:val="auto"/>
        </w:rPr>
        <w:t>Komunikační aktivity a výstupy s vizuální identitou OPZ</w:t>
      </w:r>
      <w:r w:rsidR="00F17DB0">
        <w:rPr>
          <w:b/>
          <w:color w:val="auto"/>
        </w:rPr>
        <w:t>+</w:t>
      </w:r>
      <w:r w:rsidRPr="006C0A44">
        <w:rPr>
          <w:b/>
          <w:color w:val="auto"/>
        </w:rPr>
        <w:t xml:space="preserve"> </w:t>
      </w:r>
    </w:p>
    <w:p w:rsidR="006C0A44" w:rsidRPr="006C0A44" w:rsidRDefault="006C0A44" w:rsidP="006C0A44">
      <w:pPr>
        <w:pStyle w:val="Default"/>
        <w:jc w:val="both"/>
      </w:pPr>
    </w:p>
    <w:p w:rsidR="006C0A44" w:rsidRPr="006C0A44" w:rsidRDefault="006C0A44" w:rsidP="006C0A44">
      <w:pPr>
        <w:pStyle w:val="Default"/>
        <w:jc w:val="both"/>
      </w:pPr>
      <w:r w:rsidRPr="006C0A44">
        <w:t>Vizuální identitu OPZ</w:t>
      </w:r>
      <w:r w:rsidR="00F17DB0">
        <w:t>+</w:t>
      </w:r>
      <w:bookmarkStart w:id="0" w:name="_GoBack"/>
      <w:bookmarkEnd w:id="0"/>
      <w:r w:rsidRPr="006C0A44">
        <w:t xml:space="preserve"> je nutné dodržovat u následujících případů: </w:t>
      </w:r>
    </w:p>
    <w:p w:rsidR="006C0A44" w:rsidRPr="006C0A44" w:rsidRDefault="006C0A44" w:rsidP="006C0A44">
      <w:pPr>
        <w:pStyle w:val="Default"/>
        <w:jc w:val="both"/>
      </w:pPr>
      <w:r w:rsidRPr="006C0A44">
        <w:t>•</w:t>
      </w:r>
      <w:r w:rsidRPr="006C0A44">
        <w:tab/>
        <w:t xml:space="preserve">plakát, billboard, permanentní billboard nebo stálá pamětní deska </w:t>
      </w:r>
    </w:p>
    <w:p w:rsidR="006C0A44" w:rsidRPr="006C0A44" w:rsidRDefault="006C0A44" w:rsidP="006C0A44">
      <w:pPr>
        <w:pStyle w:val="Default"/>
        <w:jc w:val="both"/>
      </w:pPr>
      <w:r w:rsidRPr="006C0A44">
        <w:t>•</w:t>
      </w:r>
      <w:r w:rsidRPr="006C0A44">
        <w:tab/>
        <w:t xml:space="preserve">webové stránky, </w:t>
      </w:r>
      <w:proofErr w:type="spellStart"/>
      <w:r w:rsidRPr="006C0A44">
        <w:t>microsity</w:t>
      </w:r>
      <w:proofErr w:type="spellEnd"/>
      <w:r w:rsidRPr="006C0A44">
        <w:t>, sociální média informující o projektu;</w:t>
      </w:r>
    </w:p>
    <w:p w:rsidR="006C0A44" w:rsidRPr="006C0A44" w:rsidRDefault="006C0A44" w:rsidP="006C0A44">
      <w:pPr>
        <w:pStyle w:val="Default"/>
        <w:jc w:val="both"/>
      </w:pPr>
      <w:r w:rsidRPr="006C0A44">
        <w:t>•</w:t>
      </w:r>
      <w:r w:rsidRPr="006C0A44">
        <w:tab/>
        <w:t xml:space="preserve">propagační tiskoviny </w:t>
      </w:r>
      <w:r w:rsidRPr="00861F9F">
        <w:rPr>
          <w:sz w:val="16"/>
          <w:szCs w:val="16"/>
        </w:rPr>
        <w:t>(128)</w:t>
      </w:r>
      <w:r w:rsidRPr="006C0A44">
        <w:t xml:space="preserve"> - (brožury, letáky, plakáty, publikace, školicí materiály) a propagační předměty;</w:t>
      </w:r>
    </w:p>
    <w:p w:rsidR="006C0A44" w:rsidRPr="006C0A44" w:rsidRDefault="006C0A44" w:rsidP="006C0A44">
      <w:pPr>
        <w:pStyle w:val="Default"/>
        <w:jc w:val="both"/>
      </w:pPr>
      <w:r w:rsidRPr="006C0A44">
        <w:t>•</w:t>
      </w:r>
      <w:r w:rsidRPr="006C0A44">
        <w:tab/>
        <w:t xml:space="preserve">propagační audiovizuální materiály (reklamní spoty, </w:t>
      </w:r>
      <w:proofErr w:type="spellStart"/>
      <w:r w:rsidRPr="006C0A44">
        <w:t>product</w:t>
      </w:r>
      <w:proofErr w:type="spellEnd"/>
      <w:r w:rsidRPr="006C0A44">
        <w:t xml:space="preserve"> </w:t>
      </w:r>
      <w:proofErr w:type="spellStart"/>
      <w:r w:rsidRPr="006C0A44">
        <w:t>placement</w:t>
      </w:r>
      <w:proofErr w:type="spellEnd"/>
      <w:r w:rsidRPr="006C0A44">
        <w:t xml:space="preserve">, sponzorské vzkazy, reportáže, pořady); </w:t>
      </w:r>
      <w:r w:rsidRPr="00861F9F">
        <w:rPr>
          <w:sz w:val="16"/>
          <w:szCs w:val="16"/>
        </w:rPr>
        <w:t>(129)</w:t>
      </w:r>
    </w:p>
    <w:p w:rsidR="001E2939" w:rsidRPr="006C0A44" w:rsidRDefault="006C0A44" w:rsidP="006C0A44">
      <w:pPr>
        <w:pStyle w:val="Default"/>
        <w:jc w:val="both"/>
      </w:pPr>
      <w:r w:rsidRPr="006C0A44">
        <w:t>•</w:t>
      </w:r>
      <w:r w:rsidRPr="006C0A44">
        <w:tab/>
        <w:t xml:space="preserve">inzerce (internet, tisk, </w:t>
      </w:r>
      <w:proofErr w:type="spellStart"/>
      <w:r w:rsidRPr="006C0A44">
        <w:t>outdoor</w:t>
      </w:r>
      <w:proofErr w:type="spellEnd"/>
      <w:r w:rsidRPr="006C0A44">
        <w:t xml:space="preserve">); </w:t>
      </w:r>
      <w:r w:rsidRPr="00861F9F">
        <w:rPr>
          <w:sz w:val="16"/>
          <w:szCs w:val="16"/>
        </w:rPr>
        <w:t>(130)</w:t>
      </w:r>
    </w:p>
    <w:p w:rsidR="006C0A44" w:rsidRDefault="006C0A44" w:rsidP="00EF7BFC">
      <w:pPr>
        <w:pStyle w:val="Default"/>
        <w:jc w:val="both"/>
        <w:rPr>
          <w:sz w:val="16"/>
          <w:szCs w:val="16"/>
        </w:rPr>
      </w:pPr>
    </w:p>
    <w:p w:rsidR="006C0A44" w:rsidRDefault="006C0A44" w:rsidP="00EF7BFC">
      <w:pPr>
        <w:pStyle w:val="Default"/>
        <w:jc w:val="both"/>
        <w:rPr>
          <w:sz w:val="16"/>
          <w:szCs w:val="16"/>
        </w:rPr>
      </w:pPr>
    </w:p>
    <w:p w:rsidR="006C0A44" w:rsidRDefault="006C0A44" w:rsidP="00EF7BFC">
      <w:pPr>
        <w:pStyle w:val="Default"/>
        <w:jc w:val="both"/>
        <w:rPr>
          <w:sz w:val="16"/>
          <w:szCs w:val="16"/>
        </w:rPr>
      </w:pPr>
    </w:p>
    <w:p w:rsidR="006C0A44" w:rsidRDefault="006C0A44" w:rsidP="00EF7BFC">
      <w:pPr>
        <w:pStyle w:val="Default"/>
        <w:jc w:val="both"/>
        <w:rPr>
          <w:sz w:val="16"/>
          <w:szCs w:val="16"/>
        </w:rPr>
      </w:pPr>
    </w:p>
    <w:p w:rsidR="00EF7BFC" w:rsidRPr="00BF51F7" w:rsidRDefault="00EF7BFC" w:rsidP="00EF7BFC">
      <w:pPr>
        <w:pStyle w:val="Default"/>
        <w:jc w:val="both"/>
        <w:rPr>
          <w:sz w:val="16"/>
          <w:szCs w:val="16"/>
        </w:rPr>
      </w:pPr>
      <w:r w:rsidRPr="00BF51F7">
        <w:rPr>
          <w:sz w:val="16"/>
          <w:szCs w:val="16"/>
        </w:rPr>
        <w:lastRenderedPageBreak/>
        <w:t xml:space="preserve">83 Pokud je projekt realizován na více místech, bude plakát umístěn na všech těchto místech. Pokud není možné umístit plakát v místě realizace projektu, bude umístěn v sídle příjemce. Pokud příjemce realizuje více projektů OPZ v jednom místě, je možné pro všechny tyto projekty umístit pouze jeden plakát. </w:t>
      </w:r>
    </w:p>
    <w:p w:rsidR="00D71AB4" w:rsidRDefault="00D71AB4" w:rsidP="00EF7BFC">
      <w:pPr>
        <w:pStyle w:val="Default"/>
        <w:jc w:val="both"/>
        <w:rPr>
          <w:sz w:val="16"/>
          <w:szCs w:val="16"/>
        </w:rPr>
      </w:pPr>
    </w:p>
    <w:p w:rsidR="00D71AB4" w:rsidRDefault="00D71AB4" w:rsidP="00EF7BFC">
      <w:pPr>
        <w:pStyle w:val="Default"/>
        <w:jc w:val="both"/>
        <w:rPr>
          <w:sz w:val="16"/>
          <w:szCs w:val="16"/>
        </w:rPr>
      </w:pPr>
    </w:p>
    <w:p w:rsidR="00D71AB4" w:rsidRDefault="00D71AB4" w:rsidP="00EF7BFC">
      <w:pPr>
        <w:pStyle w:val="Default"/>
        <w:jc w:val="both"/>
        <w:rPr>
          <w:sz w:val="16"/>
          <w:szCs w:val="16"/>
        </w:rPr>
      </w:pPr>
    </w:p>
    <w:p w:rsidR="00D57F24" w:rsidRDefault="00D57F24" w:rsidP="00D57F24">
      <w:pPr>
        <w:pStyle w:val="Default"/>
        <w:numPr>
          <w:ilvl w:val="0"/>
          <w:numId w:val="8"/>
        </w:numPr>
        <w:ind w:left="709" w:hanging="425"/>
        <w:jc w:val="both"/>
      </w:pPr>
      <w:r>
        <w:t>soutěže (s výjimkou cen do soutěží);</w:t>
      </w:r>
    </w:p>
    <w:p w:rsidR="00D57F24" w:rsidRDefault="00D57F24" w:rsidP="00D57F24">
      <w:pPr>
        <w:pStyle w:val="Default"/>
        <w:numPr>
          <w:ilvl w:val="0"/>
          <w:numId w:val="8"/>
        </w:numPr>
        <w:ind w:left="709" w:hanging="425"/>
        <w:jc w:val="both"/>
      </w:pPr>
      <w:r>
        <w:t>komunikační akce (semináře, workshopy, konference, tiskové konference, výstavy, veletrhy);</w:t>
      </w:r>
      <w:r w:rsidR="006C0A44">
        <w:t>(</w:t>
      </w:r>
      <w:r w:rsidRPr="00861F9F">
        <w:rPr>
          <w:sz w:val="16"/>
          <w:szCs w:val="16"/>
        </w:rPr>
        <w:t>131</w:t>
      </w:r>
      <w:r w:rsidR="006C0A44" w:rsidRPr="00861F9F">
        <w:rPr>
          <w:sz w:val="16"/>
          <w:szCs w:val="16"/>
        </w:rPr>
        <w:t>)</w:t>
      </w:r>
    </w:p>
    <w:p w:rsidR="00D57F24" w:rsidRDefault="00D57F24" w:rsidP="00D57F24">
      <w:pPr>
        <w:pStyle w:val="Default"/>
        <w:numPr>
          <w:ilvl w:val="0"/>
          <w:numId w:val="8"/>
        </w:numPr>
        <w:ind w:left="709" w:hanging="425"/>
        <w:jc w:val="both"/>
      </w:pPr>
      <w:r>
        <w:t>PR výstupy při jejich distribuci (tiskové zprávy, informace pro média);</w:t>
      </w:r>
    </w:p>
    <w:p w:rsidR="00BF51F7" w:rsidRDefault="00D57F24" w:rsidP="00D57F24">
      <w:pPr>
        <w:pStyle w:val="Default"/>
        <w:numPr>
          <w:ilvl w:val="0"/>
          <w:numId w:val="8"/>
        </w:numPr>
        <w:ind w:left="709" w:hanging="425"/>
        <w:jc w:val="both"/>
      </w:pPr>
      <w:r>
        <w:t>dokumenty určené pro veřejnost či cílové skupiny projektu (vstupní, výstupní/závěrečné zprávy, analýzy, certifikáty,</w:t>
      </w:r>
      <w:r w:rsidR="006C0A44">
        <w:t xml:space="preserve"> </w:t>
      </w:r>
      <w:r w:rsidR="006C0A44" w:rsidRPr="00861F9F">
        <w:rPr>
          <w:sz w:val="16"/>
          <w:szCs w:val="16"/>
        </w:rPr>
        <w:t>(</w:t>
      </w:r>
      <w:r w:rsidRPr="00861F9F">
        <w:rPr>
          <w:sz w:val="16"/>
          <w:szCs w:val="16"/>
        </w:rPr>
        <w:t>132</w:t>
      </w:r>
      <w:r w:rsidR="006C0A44" w:rsidRPr="00861F9F">
        <w:rPr>
          <w:sz w:val="16"/>
          <w:szCs w:val="16"/>
        </w:rPr>
        <w:t>)</w:t>
      </w:r>
      <w:r>
        <w:t xml:space="preserve"> prezenční listiny apod.).</w:t>
      </w:r>
    </w:p>
    <w:p w:rsidR="00BF51F7" w:rsidRDefault="00BF51F7" w:rsidP="00DC3800">
      <w:pPr>
        <w:pStyle w:val="Default"/>
        <w:jc w:val="both"/>
        <w:rPr>
          <w:sz w:val="16"/>
          <w:szCs w:val="16"/>
        </w:rPr>
      </w:pPr>
    </w:p>
    <w:p w:rsidR="00BF51F7" w:rsidRDefault="00BF51F7" w:rsidP="00DC3800">
      <w:pPr>
        <w:pStyle w:val="Default"/>
        <w:jc w:val="both"/>
        <w:rPr>
          <w:sz w:val="16"/>
          <w:szCs w:val="16"/>
        </w:rPr>
      </w:pPr>
    </w:p>
    <w:p w:rsidR="00D57F24" w:rsidRDefault="00D57F24" w:rsidP="006C0A44">
      <w:pPr>
        <w:pStyle w:val="Default"/>
        <w:jc w:val="both"/>
      </w:pPr>
      <w:r w:rsidRPr="00D57F24">
        <w:t>Logo EU není nutné používat zejména u následujících případů:</w:t>
      </w:r>
    </w:p>
    <w:p w:rsidR="00D57F24" w:rsidRPr="00D57F24" w:rsidRDefault="00D57F24" w:rsidP="00D57F24">
      <w:pPr>
        <w:pStyle w:val="Default"/>
        <w:numPr>
          <w:ilvl w:val="0"/>
          <w:numId w:val="9"/>
        </w:numPr>
        <w:jc w:val="both"/>
      </w:pPr>
      <w:r w:rsidRPr="00D57F24">
        <w:t>interní dokumenty;</w:t>
      </w:r>
    </w:p>
    <w:p w:rsidR="00D57F24" w:rsidRPr="00D57F24" w:rsidRDefault="00D57F24" w:rsidP="00D57F24">
      <w:pPr>
        <w:pStyle w:val="Default"/>
        <w:numPr>
          <w:ilvl w:val="0"/>
          <w:numId w:val="9"/>
        </w:numPr>
        <w:jc w:val="both"/>
      </w:pPr>
      <w:r w:rsidRPr="00D57F24">
        <w:t>archivační šanony;</w:t>
      </w:r>
    </w:p>
    <w:p w:rsidR="00D57F24" w:rsidRPr="00D57F24" w:rsidRDefault="00D57F24" w:rsidP="00D57F24">
      <w:pPr>
        <w:pStyle w:val="Default"/>
        <w:numPr>
          <w:ilvl w:val="0"/>
          <w:numId w:val="9"/>
        </w:numPr>
        <w:jc w:val="both"/>
      </w:pPr>
      <w:r w:rsidRPr="00D57F24">
        <w:t>elektronická i listinná komunikace;</w:t>
      </w:r>
    </w:p>
    <w:p w:rsidR="00D57F24" w:rsidRPr="00D57F24" w:rsidRDefault="00D57F24" w:rsidP="00D57F24">
      <w:pPr>
        <w:pStyle w:val="Default"/>
        <w:numPr>
          <w:ilvl w:val="0"/>
          <w:numId w:val="9"/>
        </w:numPr>
        <w:jc w:val="both"/>
      </w:pPr>
      <w:r w:rsidRPr="00D57F24">
        <w:t>pracovní smlouvy;</w:t>
      </w:r>
    </w:p>
    <w:p w:rsidR="00D57F24" w:rsidRPr="00D57F24" w:rsidRDefault="00D57F24" w:rsidP="00D57F24">
      <w:pPr>
        <w:pStyle w:val="Default"/>
        <w:numPr>
          <w:ilvl w:val="0"/>
          <w:numId w:val="9"/>
        </w:numPr>
        <w:jc w:val="both"/>
      </w:pPr>
      <w:r w:rsidRPr="00D57F24">
        <w:t>dokumentace k zakázkám;</w:t>
      </w:r>
    </w:p>
    <w:p w:rsidR="00D57F24" w:rsidRPr="00D57F24" w:rsidRDefault="00D57F24" w:rsidP="00D57F24">
      <w:pPr>
        <w:pStyle w:val="Default"/>
        <w:numPr>
          <w:ilvl w:val="0"/>
          <w:numId w:val="9"/>
        </w:numPr>
        <w:jc w:val="both"/>
      </w:pPr>
      <w:r w:rsidRPr="00D57F24">
        <w:t>veškeré smlouvy s dodavateli;</w:t>
      </w:r>
    </w:p>
    <w:p w:rsidR="00D57F24" w:rsidRPr="00D57F24" w:rsidRDefault="00D57F24" w:rsidP="00D57F24">
      <w:pPr>
        <w:pStyle w:val="Default"/>
        <w:numPr>
          <w:ilvl w:val="0"/>
          <w:numId w:val="9"/>
        </w:numPr>
        <w:jc w:val="both"/>
      </w:pPr>
      <w:r w:rsidRPr="00D57F24">
        <w:t>smlouvy mezi příjemcem či partnerem a dalším subjektem (nikoli dodavatelem), jejichž předmětem je zapojení cílové skupiny do projektu, kdy žádná ze smluvních stran není cílovou skupinou;</w:t>
      </w:r>
      <w:r w:rsidR="006C0A44">
        <w:t xml:space="preserve"> </w:t>
      </w:r>
      <w:r w:rsidR="006C0A44" w:rsidRPr="00861F9F">
        <w:rPr>
          <w:sz w:val="16"/>
          <w:szCs w:val="16"/>
        </w:rPr>
        <w:t>(</w:t>
      </w:r>
      <w:r w:rsidRPr="00861F9F">
        <w:rPr>
          <w:sz w:val="16"/>
          <w:szCs w:val="16"/>
        </w:rPr>
        <w:t>133</w:t>
      </w:r>
      <w:r w:rsidR="006C0A44" w:rsidRPr="00861F9F">
        <w:rPr>
          <w:sz w:val="16"/>
          <w:szCs w:val="16"/>
        </w:rPr>
        <w:t>)</w:t>
      </w:r>
    </w:p>
    <w:p w:rsidR="00D57F24" w:rsidRPr="00D57F24" w:rsidRDefault="00D57F24" w:rsidP="00D57F24">
      <w:pPr>
        <w:pStyle w:val="Default"/>
        <w:numPr>
          <w:ilvl w:val="0"/>
          <w:numId w:val="9"/>
        </w:numPr>
        <w:jc w:val="both"/>
      </w:pPr>
      <w:r w:rsidRPr="00D57F24">
        <w:t>účetní doklady vztahující se k výdajům projektu;</w:t>
      </w:r>
    </w:p>
    <w:p w:rsidR="00D57F24" w:rsidRPr="00D57F24" w:rsidRDefault="00D57F24" w:rsidP="00D57F24">
      <w:pPr>
        <w:pStyle w:val="Default"/>
        <w:numPr>
          <w:ilvl w:val="0"/>
          <w:numId w:val="9"/>
        </w:numPr>
        <w:jc w:val="both"/>
      </w:pPr>
      <w:r w:rsidRPr="00D57F24">
        <w:t>vybavení pořízené z prostředků projektu (s výjimkou propagačních předmětů);</w:t>
      </w:r>
    </w:p>
    <w:p w:rsidR="00D57F24" w:rsidRPr="00D57F24" w:rsidRDefault="00D57F24" w:rsidP="00D57F24">
      <w:pPr>
        <w:pStyle w:val="Default"/>
        <w:numPr>
          <w:ilvl w:val="0"/>
          <w:numId w:val="9"/>
        </w:numPr>
        <w:jc w:val="both"/>
      </w:pPr>
      <w:r w:rsidRPr="00D57F24">
        <w:t>neplacené PR články a převzaté PR výstupy (např. médii);</w:t>
      </w:r>
    </w:p>
    <w:p w:rsidR="00D57F24" w:rsidRPr="00D57F24" w:rsidRDefault="00D57F24" w:rsidP="00D57F24">
      <w:pPr>
        <w:pStyle w:val="Default"/>
        <w:numPr>
          <w:ilvl w:val="0"/>
          <w:numId w:val="9"/>
        </w:numPr>
        <w:jc w:val="both"/>
      </w:pPr>
      <w:r w:rsidRPr="00D57F24">
        <w:t>ceny do soutěží;</w:t>
      </w:r>
    </w:p>
    <w:p w:rsidR="00BF51F7" w:rsidRDefault="00D57F24" w:rsidP="00D57F24">
      <w:pPr>
        <w:pStyle w:val="Default"/>
        <w:numPr>
          <w:ilvl w:val="0"/>
          <w:numId w:val="9"/>
        </w:numPr>
        <w:jc w:val="both"/>
      </w:pPr>
      <w:r w:rsidRPr="00D57F24">
        <w:t>výstupy, kde to není technicky možné (např. strojově generované objednávky, faktury).</w:t>
      </w:r>
    </w:p>
    <w:p w:rsidR="006C0A44" w:rsidRDefault="006C0A44" w:rsidP="006C0A44">
      <w:pPr>
        <w:pStyle w:val="Default"/>
        <w:jc w:val="both"/>
        <w:rPr>
          <w:b/>
          <w:bCs/>
        </w:rPr>
      </w:pPr>
    </w:p>
    <w:p w:rsidR="006C0A44" w:rsidRPr="006C0A44" w:rsidRDefault="006C0A44" w:rsidP="008D7F43">
      <w:pPr>
        <w:pStyle w:val="Default"/>
        <w:numPr>
          <w:ilvl w:val="0"/>
          <w:numId w:val="1"/>
        </w:numPr>
        <w:jc w:val="both"/>
      </w:pPr>
      <w:r w:rsidRPr="006C0A44">
        <w:rPr>
          <w:b/>
          <w:bCs/>
        </w:rPr>
        <w:t xml:space="preserve">Logo EU a jeho technické parametry </w:t>
      </w:r>
    </w:p>
    <w:p w:rsidR="00A047D3" w:rsidRDefault="00A047D3" w:rsidP="006C0A44">
      <w:pPr>
        <w:pStyle w:val="Default"/>
        <w:jc w:val="both"/>
      </w:pPr>
    </w:p>
    <w:p w:rsidR="006C0A44" w:rsidRPr="006C0A44" w:rsidRDefault="006C0A44" w:rsidP="006C0A44">
      <w:pPr>
        <w:pStyle w:val="Default"/>
        <w:jc w:val="both"/>
      </w:pPr>
      <w:r w:rsidRPr="006C0A44">
        <w:t xml:space="preserve">Pravidla pro použití loga EU a jeho technické parametry vychází z přílohy IX obecného nařízení a Metodického pokynu pro oblast indikátorů, evaluací a publicity pro programové období 2021-2027 (dále jen „MP Indikátory, evaluace, publicita“). </w:t>
      </w:r>
    </w:p>
    <w:p w:rsidR="00A047D3" w:rsidRDefault="00A047D3" w:rsidP="006C0A44">
      <w:pPr>
        <w:pStyle w:val="Default"/>
        <w:jc w:val="both"/>
      </w:pPr>
    </w:p>
    <w:p w:rsidR="006C0A44" w:rsidRDefault="006C0A44" w:rsidP="006C0A44">
      <w:pPr>
        <w:pStyle w:val="Default"/>
        <w:jc w:val="both"/>
      </w:pPr>
      <w:r w:rsidRPr="006C0A44">
        <w:t xml:space="preserve">Povinné prvky loga EU: </w:t>
      </w:r>
    </w:p>
    <w:p w:rsidR="00A047D3" w:rsidRPr="006C0A44" w:rsidRDefault="00A047D3" w:rsidP="006C0A44">
      <w:pPr>
        <w:pStyle w:val="Default"/>
        <w:jc w:val="both"/>
      </w:pPr>
    </w:p>
    <w:p w:rsidR="006C0A44" w:rsidRPr="006C0A44" w:rsidRDefault="006C0A44" w:rsidP="006C0A44">
      <w:pPr>
        <w:pStyle w:val="Default"/>
        <w:numPr>
          <w:ilvl w:val="0"/>
          <w:numId w:val="10"/>
        </w:numPr>
        <w:jc w:val="both"/>
      </w:pPr>
      <w:r w:rsidRPr="006C0A44">
        <w:t xml:space="preserve">a) znak EU; </w:t>
      </w:r>
    </w:p>
    <w:p w:rsidR="006C0A44" w:rsidRPr="006C0A44" w:rsidRDefault="006C0A44" w:rsidP="006C0A44">
      <w:pPr>
        <w:pStyle w:val="Default"/>
        <w:numPr>
          <w:ilvl w:val="0"/>
          <w:numId w:val="10"/>
        </w:numPr>
        <w:jc w:val="both"/>
      </w:pPr>
      <w:r w:rsidRPr="006C0A44">
        <w:t>b) povinný text „Financováno Evropskou unií“ nebo „Spolufinancováno Evropskou unií“</w:t>
      </w:r>
      <w:r w:rsidR="00861F9F">
        <w:t xml:space="preserve"> </w:t>
      </w:r>
      <w:r w:rsidR="00861F9F" w:rsidRPr="00861F9F">
        <w:rPr>
          <w:sz w:val="16"/>
          <w:szCs w:val="16"/>
        </w:rPr>
        <w:t>(</w:t>
      </w:r>
      <w:r w:rsidRPr="00861F9F">
        <w:rPr>
          <w:sz w:val="16"/>
          <w:szCs w:val="16"/>
        </w:rPr>
        <w:t>134</w:t>
      </w:r>
      <w:r w:rsidR="00861F9F" w:rsidRPr="00861F9F">
        <w:rPr>
          <w:sz w:val="16"/>
          <w:szCs w:val="16"/>
        </w:rPr>
        <w:t>)</w:t>
      </w:r>
      <w:r w:rsidRPr="00861F9F">
        <w:rPr>
          <w:sz w:val="16"/>
          <w:szCs w:val="16"/>
        </w:rPr>
        <w:t>;</w:t>
      </w:r>
      <w:r w:rsidRPr="006C0A44">
        <w:t xml:space="preserve"> </w:t>
      </w:r>
    </w:p>
    <w:p w:rsidR="00A047D3" w:rsidRDefault="00A047D3" w:rsidP="006C0A44">
      <w:pPr>
        <w:pStyle w:val="Default"/>
        <w:jc w:val="both"/>
      </w:pPr>
    </w:p>
    <w:p w:rsidR="006C0A44" w:rsidRDefault="006C0A44" w:rsidP="006C0A44">
      <w:pPr>
        <w:pStyle w:val="Default"/>
        <w:jc w:val="both"/>
      </w:pPr>
      <w:r w:rsidRPr="006C0A44">
        <w:t>Logo EU je ke stažení na portálu www.esfcr.cz.</w:t>
      </w:r>
    </w:p>
    <w:p w:rsidR="006C0A44" w:rsidRDefault="006C0A44" w:rsidP="006C0A44">
      <w:pPr>
        <w:pStyle w:val="Default"/>
        <w:jc w:val="both"/>
      </w:pPr>
    </w:p>
    <w:p w:rsidR="006C0A44" w:rsidRPr="006C0A44" w:rsidRDefault="006C0A44" w:rsidP="006C0A44">
      <w:pPr>
        <w:pStyle w:val="Default"/>
        <w:rPr>
          <w:sz w:val="16"/>
          <w:szCs w:val="16"/>
        </w:rPr>
      </w:pPr>
      <w:r w:rsidRPr="006C0A44">
        <w:rPr>
          <w:sz w:val="16"/>
          <w:szCs w:val="16"/>
        </w:rPr>
        <w:t>128 A to jak v tištěné, tak v elektronické podobě.</w:t>
      </w:r>
    </w:p>
    <w:p w:rsidR="006C0A44" w:rsidRPr="006C0A44" w:rsidRDefault="006C0A44" w:rsidP="006C0A44">
      <w:pPr>
        <w:pStyle w:val="Default"/>
        <w:rPr>
          <w:sz w:val="16"/>
          <w:szCs w:val="16"/>
        </w:rPr>
      </w:pPr>
      <w:r w:rsidRPr="006C0A44">
        <w:rPr>
          <w:sz w:val="16"/>
          <w:szCs w:val="16"/>
        </w:rPr>
        <w:t>129 U audio nosičů se uvede slovně „financováno Evropskou unií“ nebo „spolufinancováno Evropskou unií“, vzhledem k absenci vizuálního ztvárnění se další prvky (např. název programu) slovně uvedou v návaznosti na délku spotu a také na cíl, kterého má být komunikačním opatřením dosaženo.</w:t>
      </w:r>
    </w:p>
    <w:p w:rsidR="006C0A44" w:rsidRPr="006C0A44" w:rsidRDefault="006C0A44" w:rsidP="006C0A44">
      <w:pPr>
        <w:pStyle w:val="Default"/>
        <w:jc w:val="both"/>
        <w:rPr>
          <w:sz w:val="16"/>
          <w:szCs w:val="16"/>
        </w:rPr>
      </w:pPr>
      <w:r w:rsidRPr="006C0A44">
        <w:rPr>
          <w:sz w:val="16"/>
          <w:szCs w:val="16"/>
        </w:rPr>
        <w:t>130 Netýká se inzerátu na volnou pracovní pozici v realizačním týmu projektu.</w:t>
      </w:r>
    </w:p>
    <w:p w:rsidR="006C0A44" w:rsidRPr="006C0A44" w:rsidRDefault="006C0A44" w:rsidP="006C0A44">
      <w:pPr>
        <w:pStyle w:val="Default"/>
        <w:jc w:val="both"/>
        <w:rPr>
          <w:sz w:val="16"/>
          <w:szCs w:val="16"/>
        </w:rPr>
      </w:pPr>
      <w:r w:rsidRPr="006C0A44">
        <w:rPr>
          <w:sz w:val="16"/>
          <w:szCs w:val="16"/>
        </w:rPr>
        <w:t xml:space="preserve">131 Logo EU bude uvedeno na plakátu, </w:t>
      </w:r>
      <w:proofErr w:type="spellStart"/>
      <w:r w:rsidRPr="006C0A44">
        <w:rPr>
          <w:sz w:val="16"/>
          <w:szCs w:val="16"/>
        </w:rPr>
        <w:t>roll-upu</w:t>
      </w:r>
      <w:proofErr w:type="spellEnd"/>
      <w:r w:rsidRPr="006C0A44">
        <w:rPr>
          <w:sz w:val="16"/>
          <w:szCs w:val="16"/>
        </w:rPr>
        <w:t>, ceduli, polepu stánku apod. Plakátem není míněn plakát v kap. 19.1, bod 1c).</w:t>
      </w:r>
    </w:p>
    <w:p w:rsidR="006C0A44" w:rsidRPr="006C0A44" w:rsidRDefault="006C0A44" w:rsidP="006C0A44">
      <w:pPr>
        <w:pStyle w:val="Default"/>
        <w:jc w:val="both"/>
        <w:rPr>
          <w:sz w:val="16"/>
          <w:szCs w:val="16"/>
        </w:rPr>
      </w:pPr>
      <w:r w:rsidRPr="006C0A44">
        <w:rPr>
          <w:sz w:val="16"/>
          <w:szCs w:val="16"/>
        </w:rPr>
        <w:t>132 Certifikáty nemusí obsahovat logo EU, pokud jde o kurzy pro veřejnost, kde je z projektu hrazena pouze účast dané osoby, nikoli organizace samotného kurzu.</w:t>
      </w:r>
    </w:p>
    <w:p w:rsidR="006C0A44" w:rsidRPr="006C0A44" w:rsidRDefault="006C0A44" w:rsidP="006C0A44">
      <w:pPr>
        <w:pStyle w:val="Default"/>
        <w:jc w:val="both"/>
        <w:rPr>
          <w:sz w:val="16"/>
          <w:szCs w:val="16"/>
        </w:rPr>
      </w:pPr>
      <w:r w:rsidRPr="006C0A44">
        <w:rPr>
          <w:sz w:val="16"/>
          <w:szCs w:val="16"/>
        </w:rPr>
        <w:lastRenderedPageBreak/>
        <w:t>133 Subjekty zapojené do realizace projektu ovšem vždy musí být informovány o tom, že projekt je spolufinancován z EU; dostačující je informování v podobě písemného sdělení, není třeba použít logo EU.</w:t>
      </w:r>
    </w:p>
    <w:p w:rsidR="006C0A44" w:rsidRDefault="006C0A44" w:rsidP="006C0A44">
      <w:pPr>
        <w:pStyle w:val="Default"/>
        <w:jc w:val="both"/>
        <w:rPr>
          <w:sz w:val="16"/>
          <w:szCs w:val="16"/>
        </w:rPr>
      </w:pPr>
      <w:r w:rsidRPr="006C0A44">
        <w:rPr>
          <w:sz w:val="16"/>
          <w:szCs w:val="16"/>
        </w:rPr>
        <w:t>134 „Doporučuje se užívat text „Financováno Evropskou unií“ v případech, kdy podpora ze zdrojů EU je 100 % a text „Spolufinancováno Evropskou unií“ v ostatních případech.</w:t>
      </w:r>
    </w:p>
    <w:p w:rsidR="008B5C67" w:rsidRDefault="008B5C67" w:rsidP="006C0A44">
      <w:pPr>
        <w:pStyle w:val="Default"/>
        <w:jc w:val="both"/>
        <w:rPr>
          <w:sz w:val="16"/>
          <w:szCs w:val="16"/>
        </w:rPr>
      </w:pPr>
    </w:p>
    <w:p w:rsidR="008B5C67" w:rsidRDefault="008B5C67" w:rsidP="006C0A44">
      <w:pPr>
        <w:pStyle w:val="Default"/>
        <w:jc w:val="both"/>
        <w:rPr>
          <w:sz w:val="16"/>
          <w:szCs w:val="16"/>
        </w:rPr>
      </w:pPr>
    </w:p>
    <w:p w:rsidR="008B5C67" w:rsidRPr="008B5C67" w:rsidRDefault="008B5C67" w:rsidP="006C0A44">
      <w:pPr>
        <w:pStyle w:val="Default"/>
        <w:jc w:val="both"/>
        <w:rPr>
          <w:b/>
          <w:sz w:val="16"/>
          <w:szCs w:val="16"/>
        </w:rPr>
      </w:pPr>
    </w:p>
    <w:p w:rsidR="008B5C67" w:rsidRDefault="008B5C67" w:rsidP="008D7F43">
      <w:pPr>
        <w:pStyle w:val="Default"/>
        <w:numPr>
          <w:ilvl w:val="0"/>
          <w:numId w:val="1"/>
        </w:numPr>
        <w:jc w:val="both"/>
        <w:rPr>
          <w:b/>
        </w:rPr>
      </w:pPr>
      <w:r w:rsidRPr="008B5C67">
        <w:rPr>
          <w:b/>
        </w:rPr>
        <w:t>Znak EU</w:t>
      </w:r>
    </w:p>
    <w:p w:rsidR="008B5C67" w:rsidRDefault="008B5C67" w:rsidP="008B5C67">
      <w:pPr>
        <w:pStyle w:val="Default"/>
        <w:jc w:val="both"/>
        <w:rPr>
          <w:b/>
        </w:rPr>
      </w:pPr>
    </w:p>
    <w:p w:rsidR="008B5C67" w:rsidRDefault="008B5C67" w:rsidP="008B5C67">
      <w:pPr>
        <w:pStyle w:val="Default"/>
        <w:jc w:val="both"/>
        <w:rPr>
          <w:b/>
        </w:rPr>
      </w:pPr>
      <w:r w:rsidRPr="008B5C67">
        <w:rPr>
          <w:b/>
          <w:noProof/>
          <w:lang w:eastAsia="cs-CZ"/>
        </w:rPr>
        <w:drawing>
          <wp:inline distT="0" distB="0" distL="0" distR="0">
            <wp:extent cx="2181225" cy="1514476"/>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265" cy="1523530"/>
                    </a:xfrm>
                    <a:prstGeom prst="rect">
                      <a:avLst/>
                    </a:prstGeom>
                    <a:noFill/>
                    <a:ln>
                      <a:noFill/>
                    </a:ln>
                  </pic:spPr>
                </pic:pic>
              </a:graphicData>
            </a:graphic>
          </wp:inline>
        </w:drawing>
      </w:r>
    </w:p>
    <w:p w:rsidR="008B5C67" w:rsidRDefault="008B5C67" w:rsidP="008B5C67">
      <w:pPr>
        <w:pStyle w:val="Default"/>
        <w:jc w:val="both"/>
        <w:rPr>
          <w:b/>
        </w:rPr>
      </w:pPr>
    </w:p>
    <w:p w:rsidR="008B5C67" w:rsidRDefault="008B5C67" w:rsidP="008B5C67">
      <w:pPr>
        <w:pStyle w:val="Default"/>
        <w:jc w:val="both"/>
        <w:rPr>
          <w:b/>
        </w:rPr>
      </w:pPr>
    </w:p>
    <w:p w:rsidR="008B5C67" w:rsidRDefault="008B5C67" w:rsidP="008B5C67">
      <w:pPr>
        <w:pStyle w:val="Default"/>
        <w:jc w:val="both"/>
        <w:rPr>
          <w:b/>
        </w:rPr>
      </w:pPr>
      <w:r w:rsidRPr="008B5C67">
        <w:rPr>
          <w:b/>
        </w:rPr>
        <w:t>Znak EU má obdélníkový tvar a obsahuje 12 pěticípých hvězd.</w:t>
      </w:r>
    </w:p>
    <w:p w:rsidR="008B5C67" w:rsidRPr="008B5C67" w:rsidRDefault="008B5C67" w:rsidP="008B5C67">
      <w:pPr>
        <w:pStyle w:val="Default"/>
        <w:jc w:val="both"/>
        <w:rPr>
          <w:b/>
        </w:rPr>
      </w:pPr>
    </w:p>
    <w:p w:rsidR="008B5C67" w:rsidRDefault="008B5C67" w:rsidP="008B5C67">
      <w:pPr>
        <w:pStyle w:val="Default"/>
        <w:jc w:val="both"/>
        <w:rPr>
          <w:b/>
        </w:rPr>
      </w:pPr>
      <w:r w:rsidRPr="008B5C67">
        <w:rPr>
          <w:b/>
        </w:rPr>
        <w:t>Barevné provedení:</w:t>
      </w:r>
    </w:p>
    <w:p w:rsidR="008B5C67" w:rsidRPr="008B5C67" w:rsidRDefault="008B5C67" w:rsidP="008B5C67">
      <w:pPr>
        <w:pStyle w:val="Default"/>
        <w:jc w:val="both"/>
        <w:rPr>
          <w:b/>
        </w:rPr>
      </w:pPr>
    </w:p>
    <w:p w:rsidR="008B5C67" w:rsidRPr="008B5C67" w:rsidRDefault="008B5C67" w:rsidP="008B5C67">
      <w:pPr>
        <w:pStyle w:val="Default"/>
        <w:numPr>
          <w:ilvl w:val="0"/>
          <w:numId w:val="12"/>
        </w:numPr>
        <w:jc w:val="both"/>
      </w:pPr>
      <w:r w:rsidRPr="008B5C67">
        <w:t xml:space="preserve">pro povrch obdélníku PANTONE REFLEX BLUE, která odpovídá 100 % barvy </w:t>
      </w:r>
      <w:proofErr w:type="spellStart"/>
      <w:r w:rsidRPr="008B5C67">
        <w:t>Process</w:t>
      </w:r>
      <w:proofErr w:type="spellEnd"/>
      <w:r w:rsidRPr="008B5C67">
        <w:t xml:space="preserve"> Cyan a 80 % barvy </w:t>
      </w:r>
      <w:proofErr w:type="spellStart"/>
      <w:r w:rsidRPr="008B5C67">
        <w:t>Process</w:t>
      </w:r>
      <w:proofErr w:type="spellEnd"/>
      <w:r w:rsidRPr="008B5C67">
        <w:t xml:space="preserve"> Magenta</w:t>
      </w:r>
    </w:p>
    <w:p w:rsidR="008B5C67" w:rsidRPr="008B5C67" w:rsidRDefault="008B5C67" w:rsidP="008B5C67">
      <w:pPr>
        <w:pStyle w:val="Default"/>
        <w:numPr>
          <w:ilvl w:val="0"/>
          <w:numId w:val="12"/>
        </w:numPr>
        <w:jc w:val="both"/>
      </w:pPr>
      <w:r w:rsidRPr="008B5C67">
        <w:t xml:space="preserve">pro hvězdy PANTONE YELLOW, která odpovídá 100 % barvy </w:t>
      </w:r>
      <w:proofErr w:type="spellStart"/>
      <w:r w:rsidRPr="008B5C67">
        <w:t>Process</w:t>
      </w:r>
      <w:proofErr w:type="spellEnd"/>
      <w:r w:rsidRPr="008B5C67">
        <w:t xml:space="preserve"> </w:t>
      </w:r>
      <w:proofErr w:type="spellStart"/>
      <w:r w:rsidRPr="008B5C67">
        <w:t>Yellow</w:t>
      </w:r>
      <w:proofErr w:type="spellEnd"/>
    </w:p>
    <w:p w:rsidR="008B5C67" w:rsidRDefault="008B5C67" w:rsidP="008B5C67">
      <w:pPr>
        <w:pStyle w:val="Default"/>
        <w:jc w:val="both"/>
        <w:rPr>
          <w:b/>
        </w:rPr>
      </w:pPr>
    </w:p>
    <w:p w:rsidR="008B5C67" w:rsidRPr="008B5C67" w:rsidRDefault="008B5C67" w:rsidP="008B5C67">
      <w:pPr>
        <w:pStyle w:val="Default"/>
        <w:jc w:val="both"/>
        <w:rPr>
          <w:b/>
        </w:rPr>
      </w:pPr>
      <w:r w:rsidRPr="008B5C67">
        <w:rPr>
          <w:b/>
        </w:rPr>
        <w:t>Barevné provedení na internetu:</w:t>
      </w:r>
    </w:p>
    <w:p w:rsidR="008B5C67" w:rsidRPr="008B5C67" w:rsidRDefault="008B5C67" w:rsidP="008B5C67">
      <w:pPr>
        <w:pStyle w:val="Default"/>
        <w:numPr>
          <w:ilvl w:val="0"/>
          <w:numId w:val="12"/>
        </w:numPr>
        <w:jc w:val="both"/>
      </w:pPr>
      <w:r w:rsidRPr="008B5C67">
        <w:t>pro povrch obdélníku RGB: 0/51/153 (hexadecimálně 003399)</w:t>
      </w:r>
    </w:p>
    <w:p w:rsidR="008B5C67" w:rsidRPr="008B5C67" w:rsidRDefault="008B5C67" w:rsidP="008B5C67">
      <w:pPr>
        <w:pStyle w:val="Default"/>
        <w:numPr>
          <w:ilvl w:val="0"/>
          <w:numId w:val="12"/>
        </w:numPr>
        <w:jc w:val="both"/>
      </w:pPr>
      <w:r w:rsidRPr="008B5C67">
        <w:t xml:space="preserve"> pro hvězdy RGB 255/204/0 (hexadecimálně FFCC00)</w:t>
      </w:r>
    </w:p>
    <w:p w:rsidR="008B5C67" w:rsidRDefault="008B5C67" w:rsidP="008B5C67">
      <w:pPr>
        <w:pStyle w:val="Default"/>
        <w:jc w:val="both"/>
        <w:rPr>
          <w:b/>
        </w:rPr>
      </w:pPr>
    </w:p>
    <w:p w:rsidR="008B5C67" w:rsidRDefault="008B5C67" w:rsidP="008B5C67">
      <w:pPr>
        <w:pStyle w:val="Default"/>
        <w:jc w:val="both"/>
        <w:rPr>
          <w:b/>
        </w:rPr>
      </w:pPr>
      <w:r w:rsidRPr="008B5C67">
        <w:rPr>
          <w:b/>
        </w:rPr>
        <w:t>Varianty zobrazení:</w:t>
      </w:r>
    </w:p>
    <w:p w:rsidR="008B5C67" w:rsidRDefault="008B5C67" w:rsidP="008B5C67">
      <w:pPr>
        <w:pStyle w:val="Default"/>
        <w:jc w:val="both"/>
        <w:rPr>
          <w:b/>
        </w:rPr>
      </w:pPr>
    </w:p>
    <w:p w:rsidR="008B5C67" w:rsidRDefault="008B5C67" w:rsidP="008B5C67">
      <w:pPr>
        <w:pStyle w:val="Default"/>
        <w:jc w:val="both"/>
        <w:rPr>
          <w:b/>
        </w:rPr>
      </w:pPr>
      <w:r>
        <w:rPr>
          <w:b/>
        </w:rPr>
        <w:t xml:space="preserve">   Barevné zobrazení                            Jednobarevné zobrazení</w:t>
      </w:r>
      <w:r w:rsidR="00861F9F">
        <w:rPr>
          <w:b/>
        </w:rPr>
        <w:t xml:space="preserve"> </w:t>
      </w:r>
      <w:r w:rsidR="00861F9F" w:rsidRPr="00861F9F">
        <w:rPr>
          <w:b/>
          <w:sz w:val="16"/>
          <w:szCs w:val="16"/>
        </w:rPr>
        <w:t>(135)</w:t>
      </w:r>
    </w:p>
    <w:p w:rsidR="008B5C67" w:rsidRDefault="008B5C67" w:rsidP="008B5C67">
      <w:pPr>
        <w:pStyle w:val="Default"/>
        <w:jc w:val="both"/>
        <w:rPr>
          <w:b/>
        </w:rPr>
      </w:pPr>
      <w:r w:rsidRPr="008B5C67">
        <w:rPr>
          <w:b/>
          <w:noProof/>
          <w:lang w:eastAsia="cs-CZ"/>
        </w:rPr>
        <w:drawing>
          <wp:inline distT="0" distB="0" distL="0" distR="0">
            <wp:extent cx="1430553" cy="93345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091" cy="941631"/>
                    </a:xfrm>
                    <a:prstGeom prst="rect">
                      <a:avLst/>
                    </a:prstGeom>
                    <a:noFill/>
                    <a:ln>
                      <a:noFill/>
                    </a:ln>
                  </pic:spPr>
                </pic:pic>
              </a:graphicData>
            </a:graphic>
          </wp:inline>
        </w:drawing>
      </w:r>
      <w:r>
        <w:rPr>
          <w:b/>
        </w:rPr>
        <w:t xml:space="preserve">                            </w:t>
      </w:r>
      <w:r w:rsidRPr="008B5C67">
        <w:rPr>
          <w:b/>
        </w:rPr>
        <w:t xml:space="preserve"> </w:t>
      </w:r>
      <w:r w:rsidRPr="008B5C67">
        <w:rPr>
          <w:b/>
          <w:noProof/>
          <w:lang w:eastAsia="cs-CZ"/>
        </w:rPr>
        <w:drawing>
          <wp:inline distT="0" distB="0" distL="0" distR="0">
            <wp:extent cx="1349606" cy="923925"/>
            <wp:effectExtent l="0" t="0" r="317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8737" cy="964405"/>
                    </a:xfrm>
                    <a:prstGeom prst="rect">
                      <a:avLst/>
                    </a:prstGeom>
                    <a:noFill/>
                    <a:ln>
                      <a:noFill/>
                    </a:ln>
                  </pic:spPr>
                </pic:pic>
              </a:graphicData>
            </a:graphic>
          </wp:inline>
        </w:drawing>
      </w:r>
    </w:p>
    <w:p w:rsidR="00CD6B3D" w:rsidRDefault="00CD6B3D" w:rsidP="008B5C67">
      <w:pPr>
        <w:pStyle w:val="Default"/>
        <w:jc w:val="both"/>
        <w:rPr>
          <w:b/>
        </w:rPr>
      </w:pPr>
    </w:p>
    <w:p w:rsidR="00CD6B3D" w:rsidRDefault="00CD6B3D" w:rsidP="008B5C67">
      <w:pPr>
        <w:pStyle w:val="Default"/>
        <w:jc w:val="both"/>
        <w:rPr>
          <w:b/>
        </w:rPr>
      </w:pPr>
      <w:r w:rsidRPr="00CD6B3D">
        <w:rPr>
          <w:b/>
        </w:rPr>
        <w:t>Na vícebarevném pozadí je třeba obdélník ohraničit bílým pruhem o tloušťce rovnající se 1/25 výšky obdélníku.</w:t>
      </w:r>
    </w:p>
    <w:p w:rsidR="00CD6B3D" w:rsidRDefault="00CD6B3D" w:rsidP="008B5C67">
      <w:pPr>
        <w:pStyle w:val="Default"/>
        <w:jc w:val="both"/>
        <w:rPr>
          <w:b/>
        </w:rPr>
      </w:pPr>
      <w:r w:rsidRPr="00CD6B3D">
        <w:rPr>
          <w:b/>
          <w:noProof/>
          <w:lang w:eastAsia="cs-CZ"/>
        </w:rPr>
        <w:drawing>
          <wp:inline distT="0" distB="0" distL="0" distR="0">
            <wp:extent cx="1524000" cy="1146928"/>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9488" cy="1151058"/>
                    </a:xfrm>
                    <a:prstGeom prst="rect">
                      <a:avLst/>
                    </a:prstGeom>
                    <a:noFill/>
                    <a:ln>
                      <a:noFill/>
                    </a:ln>
                  </pic:spPr>
                </pic:pic>
              </a:graphicData>
            </a:graphic>
          </wp:inline>
        </w:drawing>
      </w:r>
    </w:p>
    <w:p w:rsidR="00551A35" w:rsidRDefault="00551A35" w:rsidP="008B5C67">
      <w:pPr>
        <w:pStyle w:val="Default"/>
        <w:jc w:val="both"/>
        <w:rPr>
          <w:b/>
        </w:rPr>
      </w:pPr>
    </w:p>
    <w:p w:rsidR="00861F9F" w:rsidRDefault="00861F9F" w:rsidP="00551A35">
      <w:pPr>
        <w:pStyle w:val="Default"/>
        <w:jc w:val="both"/>
        <w:rPr>
          <w:b/>
        </w:rPr>
      </w:pPr>
    </w:p>
    <w:p w:rsidR="00861F9F" w:rsidRPr="00861F9F" w:rsidRDefault="00861F9F" w:rsidP="00551A35">
      <w:pPr>
        <w:pStyle w:val="Default"/>
        <w:jc w:val="both"/>
        <w:rPr>
          <w:sz w:val="16"/>
          <w:szCs w:val="16"/>
        </w:rPr>
      </w:pPr>
      <w:r w:rsidRPr="00861F9F">
        <w:rPr>
          <w:sz w:val="16"/>
          <w:szCs w:val="16"/>
        </w:rPr>
        <w:t>135 Za jednobarevné zobrazení se také považuje znak v reflexní modré (barva povrchu obdélníku znaku EU) s hvězdami v bílé barvě.</w:t>
      </w:r>
    </w:p>
    <w:p w:rsidR="00861F9F" w:rsidRDefault="00861F9F" w:rsidP="00551A35">
      <w:pPr>
        <w:pStyle w:val="Default"/>
        <w:jc w:val="both"/>
        <w:rPr>
          <w:b/>
        </w:rPr>
      </w:pPr>
    </w:p>
    <w:p w:rsidR="00861F9F" w:rsidRDefault="00861F9F" w:rsidP="00551A35">
      <w:pPr>
        <w:pStyle w:val="Default"/>
        <w:jc w:val="both"/>
        <w:rPr>
          <w:b/>
        </w:rPr>
      </w:pPr>
    </w:p>
    <w:p w:rsidR="00551A35" w:rsidRDefault="00551A35" w:rsidP="008D7F43">
      <w:pPr>
        <w:pStyle w:val="Default"/>
        <w:numPr>
          <w:ilvl w:val="0"/>
          <w:numId w:val="1"/>
        </w:numPr>
        <w:jc w:val="both"/>
        <w:rPr>
          <w:b/>
        </w:rPr>
      </w:pPr>
      <w:r w:rsidRPr="00551A35">
        <w:rPr>
          <w:b/>
        </w:rPr>
        <w:t>Povinný text</w:t>
      </w:r>
    </w:p>
    <w:p w:rsidR="00551A35" w:rsidRPr="00551A35" w:rsidRDefault="00551A35" w:rsidP="00551A35">
      <w:pPr>
        <w:pStyle w:val="Default"/>
        <w:jc w:val="both"/>
        <w:rPr>
          <w:b/>
        </w:rPr>
      </w:pPr>
    </w:p>
    <w:p w:rsidR="00551A35" w:rsidRDefault="00551A35" w:rsidP="00551A35">
      <w:pPr>
        <w:pStyle w:val="Default"/>
        <w:jc w:val="both"/>
      </w:pPr>
      <w:r w:rsidRPr="00551A35">
        <w:t>Kromě znaku EU je třeba použít také text „Financováno z Evropské unie“ nebo „Spolufinancováno z Evropské unie“.</w:t>
      </w:r>
      <w:r>
        <w:t xml:space="preserve"> </w:t>
      </w:r>
      <w:r w:rsidRPr="003967DB">
        <w:rPr>
          <w:sz w:val="16"/>
          <w:szCs w:val="16"/>
        </w:rPr>
        <w:t>(136)</w:t>
      </w:r>
    </w:p>
    <w:p w:rsidR="00861F9F" w:rsidRPr="00861F9F" w:rsidRDefault="00861F9F" w:rsidP="00551A35">
      <w:pPr>
        <w:pStyle w:val="Default"/>
        <w:jc w:val="both"/>
      </w:pPr>
    </w:p>
    <w:p w:rsidR="00861F9F" w:rsidRPr="00861F9F" w:rsidRDefault="00861F9F" w:rsidP="00861F9F">
      <w:pPr>
        <w:pStyle w:val="Default"/>
        <w:jc w:val="both"/>
      </w:pPr>
      <w:r w:rsidRPr="00861F9F">
        <w:t xml:space="preserve">V souvislosti se znakem EU lze použít kterýkoli z těchto typů písma: </w:t>
      </w:r>
      <w:proofErr w:type="spellStart"/>
      <w:r w:rsidRPr="00861F9F">
        <w:t>Arial</w:t>
      </w:r>
      <w:proofErr w:type="spellEnd"/>
      <w:r w:rsidRPr="00861F9F">
        <w:t xml:space="preserve">, Auto, </w:t>
      </w:r>
      <w:proofErr w:type="spellStart"/>
      <w:r w:rsidRPr="00861F9F">
        <w:t>Calibri</w:t>
      </w:r>
      <w:proofErr w:type="spellEnd"/>
      <w:r w:rsidRPr="00861F9F">
        <w:t xml:space="preserve">, Garamond, </w:t>
      </w:r>
      <w:proofErr w:type="spellStart"/>
      <w:r w:rsidRPr="00861F9F">
        <w:t>Trebuchet</w:t>
      </w:r>
      <w:proofErr w:type="spellEnd"/>
      <w:r w:rsidRPr="00861F9F">
        <w:t xml:space="preserve">, </w:t>
      </w:r>
      <w:proofErr w:type="spellStart"/>
      <w:r w:rsidRPr="00861F9F">
        <w:t>Tahoma</w:t>
      </w:r>
      <w:proofErr w:type="spellEnd"/>
      <w:r w:rsidRPr="00861F9F">
        <w:t xml:space="preserve">, </w:t>
      </w:r>
      <w:proofErr w:type="spellStart"/>
      <w:r w:rsidRPr="00861F9F">
        <w:t>Verdana</w:t>
      </w:r>
      <w:proofErr w:type="spellEnd"/>
      <w:r w:rsidRPr="00861F9F">
        <w:t xml:space="preserve">, </w:t>
      </w:r>
      <w:proofErr w:type="spellStart"/>
      <w:r w:rsidRPr="00861F9F">
        <w:t>Ubuntu</w:t>
      </w:r>
      <w:proofErr w:type="spellEnd"/>
      <w:r w:rsidRPr="00861F9F">
        <w:t>. Písmo nesmí být vyznačeno kurzívou, nesmí být podtrženo a nesmí obsahovat efekty.</w:t>
      </w:r>
    </w:p>
    <w:p w:rsidR="00861F9F" w:rsidRPr="00861F9F" w:rsidRDefault="00861F9F" w:rsidP="00861F9F">
      <w:pPr>
        <w:pStyle w:val="Default"/>
        <w:jc w:val="both"/>
      </w:pPr>
      <w:r w:rsidRPr="00861F9F">
        <w:t>Jako barva písma se v závislosti pozadí použije černá, bílá nebo reflexní modrá (barva povrchu obdélníku znaku EU).</w:t>
      </w:r>
    </w:p>
    <w:p w:rsidR="00861F9F" w:rsidRPr="00861F9F" w:rsidRDefault="00861F9F" w:rsidP="00861F9F">
      <w:pPr>
        <w:pStyle w:val="Default"/>
        <w:jc w:val="both"/>
      </w:pPr>
      <w:r w:rsidRPr="00861F9F">
        <w:t>Použitá velikost písma musí být úměrná velikosti znaku EU. Minimální velikost textu by měla být volena tak, aby byl text čitelný a nerozmazaný.</w:t>
      </w:r>
    </w:p>
    <w:p w:rsidR="00551A35" w:rsidRDefault="00861F9F" w:rsidP="00861F9F">
      <w:pPr>
        <w:pStyle w:val="Default"/>
        <w:jc w:val="both"/>
      </w:pPr>
      <w:r w:rsidRPr="00861F9F">
        <w:t>Text je ve vztahu ke znaku EU umístěn tak, aby se vzájemně nijak nepřekrývaly.</w:t>
      </w:r>
    </w:p>
    <w:p w:rsidR="006370B0" w:rsidRPr="00861F9F" w:rsidRDefault="006370B0" w:rsidP="00861F9F">
      <w:pPr>
        <w:pStyle w:val="Default"/>
        <w:jc w:val="both"/>
      </w:pPr>
    </w:p>
    <w:p w:rsidR="006370B0" w:rsidRDefault="006370B0" w:rsidP="008B5C67">
      <w:pPr>
        <w:pStyle w:val="Default"/>
        <w:jc w:val="both"/>
        <w:rPr>
          <w:b/>
        </w:rPr>
      </w:pPr>
    </w:p>
    <w:p w:rsidR="00551A35" w:rsidRDefault="006370B0" w:rsidP="008D7F43">
      <w:pPr>
        <w:pStyle w:val="Default"/>
        <w:numPr>
          <w:ilvl w:val="0"/>
          <w:numId w:val="1"/>
        </w:numPr>
        <w:jc w:val="both"/>
        <w:rPr>
          <w:b/>
        </w:rPr>
      </w:pPr>
      <w:r w:rsidRPr="006370B0">
        <w:rPr>
          <w:b/>
        </w:rPr>
        <w:t>Varianty zobrazení loga EU</w:t>
      </w:r>
    </w:p>
    <w:p w:rsidR="006370B0" w:rsidRDefault="006370B0" w:rsidP="008B5C67">
      <w:pPr>
        <w:pStyle w:val="Default"/>
        <w:jc w:val="both"/>
        <w:rPr>
          <w:b/>
        </w:rPr>
      </w:pPr>
    </w:p>
    <w:p w:rsidR="006370B0" w:rsidRDefault="006370B0" w:rsidP="008B5C67">
      <w:pPr>
        <w:pStyle w:val="Default"/>
        <w:jc w:val="both"/>
      </w:pPr>
      <w:r w:rsidRPr="006370B0">
        <w:t>Barevné zobrazení</w:t>
      </w:r>
      <w:r>
        <w:t xml:space="preserve">    </w:t>
      </w:r>
    </w:p>
    <w:p w:rsidR="006370B0" w:rsidRDefault="006370B0" w:rsidP="008B5C67">
      <w:pPr>
        <w:pStyle w:val="Default"/>
        <w:jc w:val="both"/>
      </w:pPr>
      <w:r w:rsidRPr="006370B0">
        <w:rPr>
          <w:noProof/>
          <w:lang w:eastAsia="cs-CZ"/>
        </w:rPr>
        <w:drawing>
          <wp:inline distT="0" distB="0" distL="0" distR="0">
            <wp:extent cx="2331385" cy="69532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7199" cy="697059"/>
                    </a:xfrm>
                    <a:prstGeom prst="rect">
                      <a:avLst/>
                    </a:prstGeom>
                    <a:noFill/>
                    <a:ln>
                      <a:noFill/>
                    </a:ln>
                  </pic:spPr>
                </pic:pic>
              </a:graphicData>
            </a:graphic>
          </wp:inline>
        </w:drawing>
      </w:r>
      <w:r>
        <w:t xml:space="preserve">                      </w:t>
      </w:r>
      <w:r w:rsidRPr="006370B0">
        <w:rPr>
          <w:noProof/>
          <w:lang w:eastAsia="cs-CZ"/>
        </w:rPr>
        <w:drawing>
          <wp:inline distT="0" distB="0" distL="0" distR="0">
            <wp:extent cx="2443239" cy="62865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63306" cy="633813"/>
                    </a:xfrm>
                    <a:prstGeom prst="rect">
                      <a:avLst/>
                    </a:prstGeom>
                    <a:noFill/>
                    <a:ln>
                      <a:noFill/>
                    </a:ln>
                  </pic:spPr>
                </pic:pic>
              </a:graphicData>
            </a:graphic>
          </wp:inline>
        </w:drawing>
      </w:r>
    </w:p>
    <w:p w:rsidR="006370B0" w:rsidRDefault="006370B0" w:rsidP="008B5C67">
      <w:pPr>
        <w:pStyle w:val="Default"/>
        <w:jc w:val="both"/>
      </w:pPr>
    </w:p>
    <w:p w:rsidR="006370B0" w:rsidRDefault="006370B0" w:rsidP="008B5C67">
      <w:pPr>
        <w:pStyle w:val="Default"/>
        <w:jc w:val="both"/>
      </w:pPr>
    </w:p>
    <w:p w:rsidR="006370B0" w:rsidRDefault="006370B0" w:rsidP="006370B0">
      <w:pPr>
        <w:pStyle w:val="Default"/>
        <w:jc w:val="both"/>
        <w:rPr>
          <w:sz w:val="16"/>
          <w:szCs w:val="16"/>
        </w:rPr>
      </w:pPr>
      <w:r w:rsidRPr="006370B0">
        <w:t>Jednobarevné zobrazení</w:t>
      </w:r>
      <w:r>
        <w:t xml:space="preserve"> </w:t>
      </w:r>
      <w:r w:rsidRPr="006370B0">
        <w:rPr>
          <w:sz w:val="16"/>
          <w:szCs w:val="16"/>
        </w:rPr>
        <w:t>(137)</w:t>
      </w:r>
    </w:p>
    <w:p w:rsidR="006370B0" w:rsidRDefault="006370B0" w:rsidP="006370B0">
      <w:pPr>
        <w:pStyle w:val="Default"/>
        <w:jc w:val="both"/>
      </w:pPr>
      <w:r w:rsidRPr="006370B0">
        <w:rPr>
          <w:noProof/>
          <w:lang w:eastAsia="cs-CZ"/>
        </w:rPr>
        <w:drawing>
          <wp:inline distT="0" distB="0" distL="0" distR="0">
            <wp:extent cx="2228850" cy="664616"/>
            <wp:effectExtent l="0" t="0" r="0" b="254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60739" cy="674125"/>
                    </a:xfrm>
                    <a:prstGeom prst="rect">
                      <a:avLst/>
                    </a:prstGeom>
                    <a:noFill/>
                    <a:ln>
                      <a:noFill/>
                    </a:ln>
                  </pic:spPr>
                </pic:pic>
              </a:graphicData>
            </a:graphic>
          </wp:inline>
        </w:drawing>
      </w:r>
      <w:r>
        <w:t xml:space="preserve">                         </w:t>
      </w:r>
      <w:r w:rsidRPr="006370B0">
        <w:rPr>
          <w:noProof/>
          <w:lang w:eastAsia="cs-CZ"/>
        </w:rPr>
        <w:drawing>
          <wp:inline distT="0" distB="0" distL="0" distR="0">
            <wp:extent cx="2409825" cy="620151"/>
            <wp:effectExtent l="0" t="0" r="0" b="889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20226" cy="622828"/>
                    </a:xfrm>
                    <a:prstGeom prst="rect">
                      <a:avLst/>
                    </a:prstGeom>
                    <a:noFill/>
                    <a:ln>
                      <a:noFill/>
                    </a:ln>
                  </pic:spPr>
                </pic:pic>
              </a:graphicData>
            </a:graphic>
          </wp:inline>
        </w:drawing>
      </w:r>
      <w:r>
        <w:t xml:space="preserve">  </w:t>
      </w:r>
    </w:p>
    <w:p w:rsidR="006370B0" w:rsidRDefault="006370B0" w:rsidP="006370B0">
      <w:pPr>
        <w:pStyle w:val="Default"/>
        <w:jc w:val="both"/>
      </w:pPr>
    </w:p>
    <w:p w:rsidR="006370B0" w:rsidRDefault="006370B0" w:rsidP="006370B0">
      <w:pPr>
        <w:pStyle w:val="Default"/>
        <w:jc w:val="both"/>
      </w:pPr>
    </w:p>
    <w:p w:rsidR="006370B0" w:rsidRDefault="006370B0" w:rsidP="006370B0">
      <w:pPr>
        <w:pStyle w:val="Default"/>
        <w:jc w:val="both"/>
      </w:pPr>
      <w:r w:rsidRPr="006370B0">
        <w:t xml:space="preserve">Uváděné varianty zobrazení znaku EU a povinných odkazů nejsou úplným výčtem, další lze nalézt na portálu </w:t>
      </w:r>
      <w:hyperlink r:id="rId16" w:history="1">
        <w:r w:rsidR="008D7F43" w:rsidRPr="005A4B45">
          <w:rPr>
            <w:rStyle w:val="Hypertextovodkaz"/>
          </w:rPr>
          <w:t>www.esfcr.cz</w:t>
        </w:r>
      </w:hyperlink>
      <w:r w:rsidRPr="006370B0">
        <w:t>.</w:t>
      </w:r>
    </w:p>
    <w:p w:rsidR="008D7F43" w:rsidRDefault="008D7F43" w:rsidP="006370B0">
      <w:pPr>
        <w:pStyle w:val="Default"/>
        <w:jc w:val="both"/>
      </w:pPr>
    </w:p>
    <w:p w:rsidR="008D7F43" w:rsidRPr="008D7F43" w:rsidRDefault="008D7F43" w:rsidP="008D7F43">
      <w:pPr>
        <w:pStyle w:val="Default"/>
        <w:numPr>
          <w:ilvl w:val="0"/>
          <w:numId w:val="1"/>
        </w:numPr>
        <w:jc w:val="both"/>
        <w:rPr>
          <w:b/>
        </w:rPr>
      </w:pPr>
      <w:r>
        <w:rPr>
          <w:b/>
        </w:rPr>
        <w:t xml:space="preserve"> </w:t>
      </w:r>
      <w:r w:rsidRPr="008D7F43">
        <w:rPr>
          <w:b/>
        </w:rPr>
        <w:t>Používání log</w:t>
      </w:r>
    </w:p>
    <w:p w:rsidR="008D7F43" w:rsidRPr="008D7F43" w:rsidRDefault="008D7F43" w:rsidP="008D7F43">
      <w:pPr>
        <w:pStyle w:val="Default"/>
        <w:jc w:val="both"/>
      </w:pPr>
    </w:p>
    <w:p w:rsidR="008D7F43" w:rsidRDefault="008D7F43" w:rsidP="008D7F43">
      <w:pPr>
        <w:pStyle w:val="Default"/>
        <w:numPr>
          <w:ilvl w:val="0"/>
          <w:numId w:val="13"/>
        </w:numPr>
        <w:jc w:val="both"/>
      </w:pPr>
      <w:r w:rsidRPr="008D7F43">
        <w:t>Logo EU musí být vždy umístěno tak, aby bylo zřetelně viditelné. Jeho umístění a velikost musí být úměrné rozměrům použitého materiálu nebo dokumentu. Na internetové stránce je logo EU umístěno tak, aby bylo viditelné při otevření stránky na digitálním zařízení bez nutnosti přesunu na spodní část stránky.</w:t>
      </w:r>
    </w:p>
    <w:p w:rsidR="00460C26" w:rsidRPr="00460C26" w:rsidRDefault="008D7F43" w:rsidP="00460C26">
      <w:pPr>
        <w:pStyle w:val="Default"/>
        <w:numPr>
          <w:ilvl w:val="0"/>
          <w:numId w:val="13"/>
        </w:numPr>
        <w:jc w:val="both"/>
      </w:pPr>
      <w:r w:rsidRPr="008D7F43">
        <w:t xml:space="preserve">Preferované zobrazení loga EU je v barevném provedení, jednobarevné vyobrazení lze použít ve specifických případech. Specifickými případy se rozumí zejména materiály, které jsou tištěny či určeny k tisku na běžných tiskárnách, technologie omezující či neumožňující použití barevné verze (např. tisk na textil nebo gravírování do skla a rytí do kamene či kovu) a další případy, </w:t>
      </w:r>
      <w:r w:rsidRPr="008D7F43">
        <w:lastRenderedPageBreak/>
        <w:t>kdy je použití barevné verze log nehospodárné, neekologické či neestetické.</w:t>
      </w:r>
      <w:r>
        <w:t xml:space="preserve"> </w:t>
      </w:r>
      <w:r w:rsidRPr="008D7F43">
        <w:rPr>
          <w:sz w:val="16"/>
          <w:szCs w:val="16"/>
        </w:rPr>
        <w:t>(138)</w:t>
      </w:r>
    </w:p>
    <w:p w:rsidR="00460C26" w:rsidRDefault="00460C26" w:rsidP="00460C26">
      <w:pPr>
        <w:pStyle w:val="Default"/>
        <w:jc w:val="both"/>
        <w:rPr>
          <w:sz w:val="16"/>
          <w:szCs w:val="16"/>
        </w:rPr>
      </w:pPr>
    </w:p>
    <w:p w:rsidR="00460C26" w:rsidRDefault="00460C26" w:rsidP="00460C26">
      <w:pPr>
        <w:pStyle w:val="Default"/>
        <w:jc w:val="both"/>
        <w:rPr>
          <w:sz w:val="16"/>
          <w:szCs w:val="16"/>
        </w:rPr>
      </w:pPr>
    </w:p>
    <w:p w:rsidR="00460C26" w:rsidRDefault="00460C26" w:rsidP="00460C26">
      <w:pPr>
        <w:pStyle w:val="Default"/>
        <w:jc w:val="both"/>
        <w:rPr>
          <w:sz w:val="16"/>
          <w:szCs w:val="16"/>
        </w:rPr>
      </w:pPr>
    </w:p>
    <w:p w:rsidR="00460C26" w:rsidRPr="00460C26" w:rsidRDefault="00460C26" w:rsidP="00460C26">
      <w:pPr>
        <w:pStyle w:val="Default"/>
        <w:jc w:val="both"/>
      </w:pPr>
    </w:p>
    <w:p w:rsidR="00460C26" w:rsidRDefault="00460C26" w:rsidP="00460C26">
      <w:pPr>
        <w:pStyle w:val="Default"/>
        <w:numPr>
          <w:ilvl w:val="0"/>
          <w:numId w:val="13"/>
        </w:numPr>
        <w:jc w:val="both"/>
      </w:pPr>
      <w:r w:rsidRPr="00460C26">
        <w:t xml:space="preserve">Kromě loga EU lze použít i další loga (příjemce, projektu, partnerů apod.). </w:t>
      </w:r>
    </w:p>
    <w:p w:rsidR="00460C26" w:rsidRDefault="00460C26" w:rsidP="00460C26">
      <w:pPr>
        <w:pStyle w:val="Default"/>
        <w:numPr>
          <w:ilvl w:val="0"/>
          <w:numId w:val="13"/>
        </w:numPr>
        <w:jc w:val="both"/>
      </w:pPr>
      <w:r w:rsidRPr="00460C26">
        <w:t xml:space="preserve">Jsou-li kromě loga EU zobrazena další loga, musí mít znak EU nejméně stejnou velikost (měřeno na výšku) jako největší z těchto dalších použitých log. </w:t>
      </w:r>
    </w:p>
    <w:p w:rsidR="00460C26" w:rsidRPr="00460C26" w:rsidRDefault="00460C26" w:rsidP="00460C26">
      <w:pPr>
        <w:pStyle w:val="Default"/>
        <w:numPr>
          <w:ilvl w:val="0"/>
          <w:numId w:val="13"/>
        </w:numPr>
        <w:jc w:val="both"/>
      </w:pPr>
      <w:r w:rsidRPr="00460C26">
        <w:t xml:space="preserve">V případě použití dalších log se doporučuje umisťovat logo EU v horizontálním řazení vždy na první pozici zleva a ve vertikálním řazení na nejvyšší </w:t>
      </w:r>
      <w:proofErr w:type="gramStart"/>
      <w:r w:rsidRPr="00460C26">
        <w:t>pozici.</w:t>
      </w:r>
      <w:r w:rsidRPr="00460C26">
        <w:rPr>
          <w:sz w:val="14"/>
          <w:szCs w:val="14"/>
        </w:rPr>
        <w:t>139</w:t>
      </w:r>
      <w:proofErr w:type="gramEnd"/>
      <w:r w:rsidRPr="00460C26">
        <w:rPr>
          <w:sz w:val="14"/>
          <w:szCs w:val="14"/>
        </w:rPr>
        <w:t xml:space="preserve"> </w:t>
      </w:r>
    </w:p>
    <w:p w:rsidR="00460C26" w:rsidRDefault="00460C26" w:rsidP="00460C26">
      <w:pPr>
        <w:pStyle w:val="Default"/>
        <w:numPr>
          <w:ilvl w:val="0"/>
          <w:numId w:val="13"/>
        </w:numPr>
        <w:jc w:val="both"/>
      </w:pPr>
      <w:r w:rsidRPr="00460C26">
        <w:t xml:space="preserve">Při řazení několika log za sebou je nutné dodržovat ochranné zóny jednotlivých log. </w:t>
      </w:r>
    </w:p>
    <w:p w:rsidR="00460C26" w:rsidRDefault="00460C26" w:rsidP="00460C26">
      <w:pPr>
        <w:pStyle w:val="Default"/>
        <w:jc w:val="both"/>
      </w:pPr>
    </w:p>
    <w:p w:rsidR="00460C26" w:rsidRDefault="00460C26" w:rsidP="00460C26">
      <w:pPr>
        <w:pStyle w:val="Default"/>
        <w:jc w:val="both"/>
      </w:pPr>
    </w:p>
    <w:p w:rsidR="00460C26" w:rsidRPr="00460C26" w:rsidRDefault="00460C26" w:rsidP="00460C26">
      <w:pPr>
        <w:pStyle w:val="Default"/>
        <w:jc w:val="both"/>
      </w:pPr>
    </w:p>
    <w:p w:rsidR="00460C26" w:rsidRPr="008D7F43" w:rsidRDefault="00460C26" w:rsidP="00460C26">
      <w:pPr>
        <w:pStyle w:val="Default"/>
        <w:ind w:left="360"/>
        <w:jc w:val="both"/>
      </w:pPr>
    </w:p>
    <w:p w:rsidR="008D7F43" w:rsidRDefault="008D7F43" w:rsidP="008D7F43">
      <w:pPr>
        <w:pStyle w:val="Default"/>
        <w:ind w:left="720"/>
        <w:jc w:val="both"/>
      </w:pPr>
    </w:p>
    <w:p w:rsidR="00460C26" w:rsidRDefault="00460C26" w:rsidP="006370B0">
      <w:pPr>
        <w:pStyle w:val="Default"/>
        <w:jc w:val="both"/>
        <w:rPr>
          <w:sz w:val="16"/>
          <w:szCs w:val="16"/>
        </w:rPr>
      </w:pPr>
    </w:p>
    <w:p w:rsidR="00460C26" w:rsidRDefault="00460C26" w:rsidP="006370B0">
      <w:pPr>
        <w:pStyle w:val="Default"/>
        <w:jc w:val="both"/>
        <w:rPr>
          <w:sz w:val="16"/>
          <w:szCs w:val="16"/>
        </w:rPr>
      </w:pPr>
    </w:p>
    <w:p w:rsidR="00460C26" w:rsidRDefault="00460C26" w:rsidP="006370B0">
      <w:pPr>
        <w:pStyle w:val="Default"/>
        <w:jc w:val="both"/>
        <w:rPr>
          <w:sz w:val="16"/>
          <w:szCs w:val="16"/>
        </w:rPr>
      </w:pPr>
    </w:p>
    <w:p w:rsidR="00460C26" w:rsidRDefault="00460C26" w:rsidP="006370B0">
      <w:pPr>
        <w:pStyle w:val="Default"/>
        <w:jc w:val="both"/>
        <w:rPr>
          <w:sz w:val="16"/>
          <w:szCs w:val="16"/>
        </w:rPr>
      </w:pPr>
    </w:p>
    <w:p w:rsidR="00460C26" w:rsidRDefault="00460C26"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p w:rsidR="00A33BBE" w:rsidRDefault="00A33BBE" w:rsidP="006370B0">
      <w:pPr>
        <w:pStyle w:val="Default"/>
        <w:jc w:val="both"/>
        <w:rPr>
          <w:sz w:val="16"/>
          <w:szCs w:val="16"/>
        </w:rPr>
      </w:pPr>
    </w:p>
    <w:sectPr w:rsidR="00A33BBE">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9A0" w:rsidRDefault="00D879A0" w:rsidP="00D879A0">
      <w:pPr>
        <w:spacing w:after="0" w:line="240" w:lineRule="auto"/>
      </w:pPr>
      <w:r>
        <w:separator/>
      </w:r>
    </w:p>
  </w:endnote>
  <w:endnote w:type="continuationSeparator" w:id="0">
    <w:p w:rsidR="00D879A0" w:rsidRDefault="00D879A0" w:rsidP="00D87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5AF" w:rsidRDefault="00F345AF">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9A0" w:rsidRDefault="00D879A0" w:rsidP="00D879A0">
    <w:pPr>
      <w:pStyle w:val="Zpat"/>
    </w:pPr>
    <w:r>
      <w:t xml:space="preserve">Projekt „Azylové domy v Olomouckém kraji II.“, </w:t>
    </w:r>
    <w:proofErr w:type="spellStart"/>
    <w:r>
      <w:t>reg</w:t>
    </w:r>
    <w:proofErr w:type="spellEnd"/>
    <w:r>
      <w:t xml:space="preserve">. </w:t>
    </w:r>
    <w:proofErr w:type="gramStart"/>
    <w:r>
      <w:t>č.</w:t>
    </w:r>
    <w:proofErr w:type="gramEnd"/>
    <w:r>
      <w:t xml:space="preserve"> </w:t>
    </w:r>
    <w:r w:rsidR="004044FE" w:rsidRPr="004044FE">
      <w:t>CZ.03.02.01/00/22_003/0000099</w:t>
    </w:r>
  </w:p>
  <w:p w:rsidR="00D879A0" w:rsidRDefault="00D879A0" w:rsidP="00D879A0">
    <w:pPr>
      <w:pStyle w:val="Zpat"/>
    </w:pPr>
    <w:r>
      <w:t xml:space="preserve">je </w:t>
    </w:r>
    <w:r w:rsidR="00F345AF">
      <w:t>spolufinancován</w:t>
    </w:r>
    <w:r>
      <w:t xml:space="preserve"> </w:t>
    </w:r>
    <w:r w:rsidR="00F345AF">
      <w:t xml:space="preserve">Evropskou unií </w:t>
    </w:r>
    <w:r>
      <w:t xml:space="preserve">v rámci Operačního programu Zaměstnanost </w:t>
    </w:r>
    <w:r w:rsidR="00860830">
      <w:t>p</w:t>
    </w:r>
    <w:r>
      <w:t>lus</w:t>
    </w:r>
    <w:r w:rsidR="00F345AF">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5AF" w:rsidRDefault="00F345A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9A0" w:rsidRDefault="00D879A0" w:rsidP="00D879A0">
      <w:pPr>
        <w:spacing w:after="0" w:line="240" w:lineRule="auto"/>
      </w:pPr>
      <w:r>
        <w:separator/>
      </w:r>
    </w:p>
  </w:footnote>
  <w:footnote w:type="continuationSeparator" w:id="0">
    <w:p w:rsidR="00D879A0" w:rsidRDefault="00D879A0" w:rsidP="00D87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5AF" w:rsidRDefault="00F345A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BFC" w:rsidRDefault="00EF7BFC">
    <w:pPr>
      <w:pStyle w:val="Zhlav"/>
    </w:pPr>
    <w:r w:rsidRPr="00EF7BFC">
      <w:object w:dxaOrig="14145" w:dyaOrig="3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25pt;height:55.5pt">
          <v:imagedata r:id="rId1" o:title=""/>
        </v:shape>
        <o:OLEObject Type="Embed" ProgID="Acrobat.Document.DC" ShapeID="_x0000_i1025" DrawAspect="Content" ObjectID="_1731827598"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5AF" w:rsidRDefault="00F345A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DBD05F9"/>
    <w:multiLevelType w:val="hybridMultilevel"/>
    <w:tmpl w:val="C952780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7F931D"/>
    <w:multiLevelType w:val="hybridMultilevel"/>
    <w:tmpl w:val="E70EAFF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1B01EE6"/>
    <w:multiLevelType w:val="hybridMultilevel"/>
    <w:tmpl w:val="7488F8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BF22BF7"/>
    <w:multiLevelType w:val="hybridMultilevel"/>
    <w:tmpl w:val="2090A4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D6963B0"/>
    <w:multiLevelType w:val="hybridMultilevel"/>
    <w:tmpl w:val="6A8E27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22856BD"/>
    <w:multiLevelType w:val="hybridMultilevel"/>
    <w:tmpl w:val="A4D049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9CB5DD3"/>
    <w:multiLevelType w:val="hybridMultilevel"/>
    <w:tmpl w:val="E7F8CD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9DF36A4"/>
    <w:multiLevelType w:val="hybridMultilevel"/>
    <w:tmpl w:val="DC4A7E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1112D8A"/>
    <w:multiLevelType w:val="hybridMultilevel"/>
    <w:tmpl w:val="67627718"/>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15:restartNumberingAfterBreak="0">
    <w:nsid w:val="53936AB9"/>
    <w:multiLevelType w:val="hybridMultilevel"/>
    <w:tmpl w:val="09AA201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AEB2756"/>
    <w:multiLevelType w:val="hybridMultilevel"/>
    <w:tmpl w:val="7A42C13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9E5446D"/>
    <w:multiLevelType w:val="hybridMultilevel"/>
    <w:tmpl w:val="7C1014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5AD48A7"/>
    <w:multiLevelType w:val="hybridMultilevel"/>
    <w:tmpl w:val="B41E93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8BCB070"/>
    <w:multiLevelType w:val="hybridMultilevel"/>
    <w:tmpl w:val="CA8124A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11"/>
  </w:num>
  <w:num w:numId="3">
    <w:abstractNumId w:val="9"/>
  </w:num>
  <w:num w:numId="4">
    <w:abstractNumId w:val="12"/>
  </w:num>
  <w:num w:numId="5">
    <w:abstractNumId w:val="3"/>
  </w:num>
  <w:num w:numId="6">
    <w:abstractNumId w:val="2"/>
  </w:num>
  <w:num w:numId="7">
    <w:abstractNumId w:val="7"/>
  </w:num>
  <w:num w:numId="8">
    <w:abstractNumId w:val="8"/>
  </w:num>
  <w:num w:numId="9">
    <w:abstractNumId w:val="4"/>
  </w:num>
  <w:num w:numId="10">
    <w:abstractNumId w:val="1"/>
  </w:num>
  <w:num w:numId="11">
    <w:abstractNumId w:val="0"/>
  </w:num>
  <w:num w:numId="12">
    <w:abstractNumId w:val="5"/>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C39"/>
    <w:rsid w:val="001E2939"/>
    <w:rsid w:val="00217F6F"/>
    <w:rsid w:val="003967DB"/>
    <w:rsid w:val="004044FE"/>
    <w:rsid w:val="00460C26"/>
    <w:rsid w:val="004F467D"/>
    <w:rsid w:val="00551A35"/>
    <w:rsid w:val="006370B0"/>
    <w:rsid w:val="006C0A44"/>
    <w:rsid w:val="00860830"/>
    <w:rsid w:val="00861F9F"/>
    <w:rsid w:val="008B5C67"/>
    <w:rsid w:val="008D7F43"/>
    <w:rsid w:val="009B7301"/>
    <w:rsid w:val="00A047D3"/>
    <w:rsid w:val="00A33BBE"/>
    <w:rsid w:val="00BA4CD7"/>
    <w:rsid w:val="00BD5EAB"/>
    <w:rsid w:val="00BF51F7"/>
    <w:rsid w:val="00C03CCF"/>
    <w:rsid w:val="00CD6B3D"/>
    <w:rsid w:val="00D57F24"/>
    <w:rsid w:val="00D71AB4"/>
    <w:rsid w:val="00D879A0"/>
    <w:rsid w:val="00DC3800"/>
    <w:rsid w:val="00E47C39"/>
    <w:rsid w:val="00EF7BFC"/>
    <w:rsid w:val="00F17DB0"/>
    <w:rsid w:val="00F345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EB2B221"/>
  <w15:chartTrackingRefBased/>
  <w15:docId w15:val="{15F000F5-7422-4657-BD01-7DD6AAA4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879A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879A0"/>
  </w:style>
  <w:style w:type="paragraph" w:styleId="Zpat">
    <w:name w:val="footer"/>
    <w:basedOn w:val="Normln"/>
    <w:link w:val="ZpatChar"/>
    <w:uiPriority w:val="99"/>
    <w:unhideWhenUsed/>
    <w:rsid w:val="00D879A0"/>
    <w:pPr>
      <w:tabs>
        <w:tab w:val="center" w:pos="4536"/>
        <w:tab w:val="right" w:pos="9072"/>
      </w:tabs>
      <w:spacing w:after="0" w:line="240" w:lineRule="auto"/>
    </w:pPr>
  </w:style>
  <w:style w:type="character" w:customStyle="1" w:styleId="ZpatChar">
    <w:name w:val="Zápatí Char"/>
    <w:basedOn w:val="Standardnpsmoodstavce"/>
    <w:link w:val="Zpat"/>
    <w:uiPriority w:val="99"/>
    <w:rsid w:val="00D879A0"/>
  </w:style>
  <w:style w:type="paragraph" w:customStyle="1" w:styleId="Default">
    <w:name w:val="Default"/>
    <w:rsid w:val="00EF7BFC"/>
    <w:pPr>
      <w:autoSpaceDE w:val="0"/>
      <w:autoSpaceDN w:val="0"/>
      <w:adjustRightInd w:val="0"/>
      <w:spacing w:after="0" w:line="240" w:lineRule="auto"/>
    </w:pPr>
    <w:rPr>
      <w:rFonts w:ascii="Arial" w:hAnsi="Arial" w:cs="Arial"/>
      <w:color w:val="000000"/>
      <w:sz w:val="24"/>
      <w:szCs w:val="24"/>
    </w:rPr>
  </w:style>
  <w:style w:type="character" w:styleId="Hypertextovodkaz">
    <w:name w:val="Hyperlink"/>
    <w:basedOn w:val="Standardnpsmoodstavce"/>
    <w:uiPriority w:val="99"/>
    <w:unhideWhenUsed/>
    <w:rsid w:val="001E2939"/>
    <w:rPr>
      <w:color w:val="0563C1" w:themeColor="hyperlink"/>
      <w:u w:val="single"/>
    </w:rPr>
  </w:style>
  <w:style w:type="paragraph" w:styleId="Odstavecseseznamem">
    <w:name w:val="List Paragraph"/>
    <w:basedOn w:val="Normln"/>
    <w:uiPriority w:val="34"/>
    <w:qFormat/>
    <w:rsid w:val="001E2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esfcr.cz" TargetMode="External"/><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esfcr.cz"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9.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5</Pages>
  <Words>1237</Words>
  <Characters>7304</Characters>
  <Application>Microsoft Office Word</Application>
  <DocSecurity>0</DocSecurity>
  <Lines>60</Lines>
  <Paragraphs>17</Paragraphs>
  <ScaleCrop>false</ScaleCrop>
  <HeadingPairs>
    <vt:vector size="2" baseType="variant">
      <vt:variant>
        <vt:lpstr>Název</vt:lpstr>
      </vt:variant>
      <vt:variant>
        <vt:i4>1</vt:i4>
      </vt:variant>
    </vt:vector>
  </HeadingPairs>
  <TitlesOfParts>
    <vt:vector size="1" baseType="lpstr">
      <vt:lpstr/>
    </vt:vector>
  </TitlesOfParts>
  <Company>VDI0101W10</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Zbožínková Monika</dc:creator>
  <cp:keywords/>
  <dc:description/>
  <cp:lastModifiedBy>Zbožínková Monika</cp:lastModifiedBy>
  <cp:revision>22</cp:revision>
  <dcterms:created xsi:type="dcterms:W3CDTF">2022-10-10T06:04:00Z</dcterms:created>
  <dcterms:modified xsi:type="dcterms:W3CDTF">2022-12-06T09:27:00Z</dcterms:modified>
</cp:coreProperties>
</file>