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4F" w:rsidRPr="000D594F" w:rsidRDefault="000D594F" w:rsidP="000D594F">
      <w:pPr>
        <w:spacing w:after="200" w:line="276" w:lineRule="auto"/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MF _ČR </w:t>
      </w:r>
      <w:r w:rsidRPr="000D594F">
        <w:rPr>
          <w:rFonts w:ascii="Arial" w:hAnsi="Arial" w:cs="Arial"/>
          <w:b/>
          <w:iCs/>
          <w:u w:val="single"/>
        </w:rPr>
        <w:t>Informace obcím k otázce posouzení a evidenci údajů uvedených v osvědčení o provozuschopnosti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Vážení,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Ministerstvo financí, Odbor 73 – Procesní agendy a regulace hazardu, si Vás tímto dovoluje oslovit s informacemi k otázce posouzení a evidence údajů uvedených v osvědčeních o provozuschopnosti koncových zařízení technické hry (dále jen „koncové zařízení“), se kterými se obecní úřady setkávají  při výkonu své působnosti na úseku regulace hazardních her dle zákona č. 186/2016 Sb., o hazardních hrách, ve znění pozdějších předpisů (dále jen „zákon o hazardních hrách“).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Podle ustanovení § 99 odst. 1 zákona o hazardních hrách jsou údaje o typu, výrobním čísle a počtu herních pozic koncového zařízení, jejich prostřednictvím je hazardní hra provozována, náležitostmi žádosti o povolení k umístění herního prostoru. Dané údaje jsou pak podle § 98 odst. 2 zákona o hazardních hrách uvedeny i v samotném povolení k umístění herního prostoru vydaném příslušným obecním úřadem a v souladu se směrnicí Ministerstva financí č. MF 929/2017/3404-9 jsou některé tyto informace poskytovány do informačního systému SDSL. Typ, výrobní číslo a počet herních pozic koncového zařízení jsou pak uvedeny i v osvědčení o provozuschopnosti pro koncové zařízení. Toto osvědčení pak je podle § 99 odst. 2 písm. c) zákona o hazardních hrách nutnou přílohou žádosti o vydání povolení k umístění herního prostoru.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Vzhledem k nejednotné praxi osob pověřených k odbornému posuzování a osvědčování při vydávání osvědčení o provozuschopnosti se vyskytují případy, kdy je jako údaj označený jako „výrobní číslo zařízení“ uveden bez zvláštního rozlišení jak typ koncového zařízení, tak i jeho výrobní číslo. V takovém osvědčení o provozuschopnosti (tato osvědčení byla vydávána zpravidla z počátku náběhu nové právní úpravy) pak může tento údaj být typicky uveden např. v  následující podobě:</w:t>
      </w:r>
      <w:bookmarkStart w:id="0" w:name="_GoBack"/>
      <w:bookmarkEnd w:id="0"/>
    </w:p>
    <w:p w:rsidR="000D594F" w:rsidRDefault="000D594F" w:rsidP="000D594F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„Výrobní číslo přístroje: FV – 610  705280“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Kde „</w:t>
      </w:r>
      <w:r>
        <w:rPr>
          <w:b/>
          <w:bCs/>
          <w:i/>
          <w:iCs/>
        </w:rPr>
        <w:t>FV-610</w:t>
      </w:r>
      <w:r>
        <w:rPr>
          <w:i/>
          <w:iCs/>
        </w:rPr>
        <w:t>“ představuje údaj o typu koncového zařízení, „</w:t>
      </w:r>
      <w:r>
        <w:rPr>
          <w:b/>
          <w:bCs/>
          <w:i/>
          <w:iCs/>
        </w:rPr>
        <w:t>705280</w:t>
      </w:r>
      <w:r>
        <w:rPr>
          <w:i/>
          <w:iCs/>
        </w:rPr>
        <w:t>“ pak představuje samotné výrobní číslo koncového zařízení.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b/>
          <w:bCs/>
          <w:i/>
          <w:iCs/>
        </w:rPr>
        <w:t>„FV – 610  705280“</w:t>
      </w:r>
      <w:r>
        <w:rPr>
          <w:i/>
          <w:iCs/>
        </w:rPr>
        <w:t xml:space="preserve"> pak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je v některých případech jako výrobní číslo koncového zařízení uvedeno v příslušném povolení k umístění herního prostoru a rovněž v IS SDSL.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V aktuálně vydávaných osvědčeních o provozuschopnosti koncového zařízení jsou tyto údaje již zpravidla uváděny samostatně. V novém osvědčení o provozuschopnosti vydaném pro totožné koncové zařízení tedy mohou být uvedeny v následující podobě:</w:t>
      </w:r>
    </w:p>
    <w:p w:rsidR="000D594F" w:rsidRDefault="000D594F" w:rsidP="000D594F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„Výrobní číslo přístroje: 705280“</w:t>
      </w:r>
    </w:p>
    <w:p w:rsidR="000D594F" w:rsidRDefault="000D594F" w:rsidP="000D594F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„Typ koncového zařízení: FV 610“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V blízké době některá osvědčení o provozuschopnosti, která byla vydána s platností 2 let, uplynou své platnosti. Provozovatel je však dle podmínky uvedené v základním povolení povinen doložit obecnímu úřadu, který povolení k umístění herního prostoru vydal, nové osvědčení o provozuschopnosti, a to nejpozději 30 dnů před uplynutím platnosti původního osvědčení o provozuschopnosti. 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Výše uvedený rozdíl ve způsobu, jakým jsou dané údaje uvedeny v osvědčení o provozuschopnosti, pak může vyústit ve zdánlivou nepřípustnost nově vydaného osvědčení o provozuschopnosti pro stávající </w:t>
      </w:r>
      <w:r>
        <w:rPr>
          <w:i/>
          <w:iCs/>
        </w:rPr>
        <w:lastRenderedPageBreak/>
        <w:t>koncové zařízení, kdy toto bude zdánlivě vydáno pro koncové zařízení s odlišným výrobním číslem. Při dodání nového osvědčení o provozuschopnosti namísto stávajícího osvědčení, jehož platnost končí, tak může dojít k situaci, kdy je pro koncové zařízení uvedené v povolení k umístění herního prostoru uvedeno výrobní číslo přístroje „</w:t>
      </w:r>
      <w:r>
        <w:rPr>
          <w:b/>
          <w:bCs/>
          <w:i/>
          <w:iCs/>
        </w:rPr>
        <w:t>FV – 610  705280</w:t>
      </w:r>
      <w:r>
        <w:rPr>
          <w:i/>
          <w:iCs/>
        </w:rPr>
        <w:t xml:space="preserve">“, nicméně v nově dodaném platném osvědčení o provozuschopnosti bude uvedeno výrobní číslo přístroje </w:t>
      </w:r>
      <w:r>
        <w:rPr>
          <w:b/>
          <w:bCs/>
          <w:i/>
          <w:iCs/>
        </w:rPr>
        <w:t xml:space="preserve">„705280“. </w:t>
      </w:r>
      <w:r>
        <w:rPr>
          <w:i/>
          <w:iCs/>
        </w:rPr>
        <w:t>Při pouhém mechanickém porovnání výrobního čísla uvedeného v povolení k umístění herního prostoru a výrobního čísla uvedeného v nově dokládaném osvědčení o provozuschopnosti, se tak může nabízet závěr, že se jedná o osvědčení o provozuschopnosti pro odlišné koncové zařízení. Provozování odlišného koncového zařízení, než jaké je uvedeno v povolení k umístění herního prostoru, by pak vyžadovalo změnu povolení k umístění herního prostoru dle § 102 zákona o hazardních hrách.</w:t>
      </w:r>
    </w:p>
    <w:p w:rsidR="000D594F" w:rsidRDefault="000D594F" w:rsidP="000D594F">
      <w:pPr>
        <w:spacing w:after="200" w:line="276" w:lineRule="auto"/>
        <w:jc w:val="both"/>
        <w:rPr>
          <w:b/>
          <w:bCs/>
          <w:i/>
          <w:iCs/>
        </w:rPr>
      </w:pPr>
      <w:r>
        <w:rPr>
          <w:i/>
          <w:iCs/>
        </w:rPr>
        <w:t xml:space="preserve">Výše uvedený postup, kdy by pouhá změna ve formě, v níž jsou uvedené údaje uváděny v osvědčení o provozuschopnosti, vyžadovala změnu povolení k umístění herního prostoru, nepovažuje Ministerstvo financí za žádoucí. Domníváme se, že platné osvědčení o provozuschopnosti koncového zařízení, u nějž dojde k výše nastíněné odlišnosti, </w:t>
      </w:r>
      <w:r>
        <w:rPr>
          <w:b/>
          <w:bCs/>
          <w:i/>
          <w:iCs/>
        </w:rPr>
        <w:t>je</w:t>
      </w:r>
      <w:r>
        <w:rPr>
          <w:i/>
          <w:iCs/>
        </w:rPr>
        <w:t> </w:t>
      </w:r>
      <w:r>
        <w:rPr>
          <w:b/>
          <w:bCs/>
          <w:i/>
          <w:iCs/>
        </w:rPr>
        <w:t xml:space="preserve">možné akceptovat jako platné osvědčení pro již provozované koncové zařízení. </w:t>
      </w:r>
      <w:r>
        <w:rPr>
          <w:i/>
          <w:iCs/>
        </w:rPr>
        <w:t xml:space="preserve">Obecní úřad tak za předpokladu, že provozovatel doložil ke všem koncovým zařízením osvědčení o provozuschopnosti, u nichž během 30 dní dojde k uplynutí platnosti, </w:t>
      </w:r>
      <w:r>
        <w:rPr>
          <w:b/>
          <w:bCs/>
          <w:i/>
          <w:iCs/>
        </w:rPr>
        <w:t xml:space="preserve">nevydává nové povolení k umístění herního prostoru. </w:t>
      </w:r>
    </w:p>
    <w:p w:rsidR="000D594F" w:rsidRDefault="000D594F" w:rsidP="000D594F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Ministerstvo financí však doporučuje v rámci další změny povolení k umístění herního prostoru upravit údaje o typu a výrobním čísle koncového zařízení, případně i herních pozicích uvedené v povolení k umístění herního prostoru tak, aby korespondovaly s údaji v nově doložených osvědčeních o provozuschopnosti. Tyto informace je rovněž nutné upravit v IS SDSL při zadávání změnového rozhodnutí.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S ohledem na výše uvedené si Vás dále dovolujeme upozornit na povinnost poskytnout při novém dodání osvědčení o provozuschopnosti provozovatelem v souladu se směrnicí Ministerstva financí</w:t>
      </w:r>
      <w:r>
        <w:rPr>
          <w:i/>
          <w:iCs/>
        </w:rPr>
        <w:br/>
        <w:t xml:space="preserve">č. j. MF-929/2017/3404-9 údaje o výrobním čísle koncového zařízení do informačního systému SDSL, a to zasláním na emailovou adresu </w:t>
      </w:r>
      <w:hyperlink r:id="rId4" w:history="1">
        <w:r>
          <w:rPr>
            <w:rStyle w:val="Hypertextovodkaz"/>
            <w:i/>
            <w:iCs/>
          </w:rPr>
          <w:t>HelpdeskSDSL@mfcr.cz</w:t>
        </w:r>
      </w:hyperlink>
      <w:r>
        <w:rPr>
          <w:i/>
          <w:iCs/>
          <w:lang w:val="en-GB"/>
        </w:rPr>
        <w:t>.</w:t>
      </w:r>
    </w:p>
    <w:p w:rsidR="000D594F" w:rsidRDefault="000D594F" w:rsidP="000D594F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Údaje v zasílaném emailu je pak nutné uvést prostřednictvím tabulky dle níže uvedeného vzoru, v níž bude uvedeno jak výrobní číslo koncového zařízení technické hry, tak číslo příslušného osvědčení o provozuschopnosti. Samotné dokumenty osvědčení o provozuschopnosti není třeba přikládat.</w:t>
      </w:r>
    </w:p>
    <w:tbl>
      <w:tblPr>
        <w:tblW w:w="894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253"/>
      </w:tblGrid>
      <w:tr w:rsidR="000D594F" w:rsidTr="000D594F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94F" w:rsidRDefault="000D594F">
            <w:pPr>
              <w:spacing w:after="200" w:line="276" w:lineRule="auto"/>
              <w:jc w:val="center"/>
              <w:rPr>
                <w:i/>
                <w:iCs/>
                <w:lang w:val="en-GB" w:eastAsia="cs-CZ"/>
              </w:rPr>
            </w:pPr>
            <w:proofErr w:type="spellStart"/>
            <w:r>
              <w:rPr>
                <w:i/>
                <w:iCs/>
                <w:lang w:val="en-GB" w:eastAsia="cs-CZ"/>
              </w:rPr>
              <w:t>Výrobní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číslo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koncového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zařízení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technické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hry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94F" w:rsidRDefault="000D594F">
            <w:pPr>
              <w:spacing w:after="200" w:line="276" w:lineRule="auto"/>
              <w:jc w:val="center"/>
              <w:rPr>
                <w:i/>
                <w:iCs/>
                <w:lang w:val="en-GB" w:eastAsia="cs-CZ"/>
              </w:rPr>
            </w:pPr>
            <w:proofErr w:type="spellStart"/>
            <w:r>
              <w:rPr>
                <w:i/>
                <w:iCs/>
                <w:lang w:val="en-GB" w:eastAsia="cs-CZ"/>
              </w:rPr>
              <w:t>Nové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číslo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osvědčení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o </w:t>
            </w:r>
            <w:proofErr w:type="spellStart"/>
            <w:r>
              <w:rPr>
                <w:i/>
                <w:iCs/>
                <w:lang w:val="en-GB" w:eastAsia="cs-CZ"/>
              </w:rPr>
              <w:t>provozuschopnosti</w:t>
            </w:r>
            <w:proofErr w:type="spellEnd"/>
          </w:p>
        </w:tc>
      </w:tr>
      <w:tr w:rsidR="000D594F" w:rsidTr="000D594F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94F" w:rsidRDefault="000D594F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GB" w:eastAsia="cs-CZ"/>
              </w:rPr>
              <w:t>705280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94F" w:rsidRDefault="000D594F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US" w:eastAsia="cs-CZ"/>
              </w:rPr>
              <w:t>#</w:t>
            </w:r>
            <w:r>
              <w:rPr>
                <w:i/>
                <w:iCs/>
                <w:color w:val="000000"/>
                <w:lang w:val="en-GB" w:eastAsia="cs-CZ"/>
              </w:rPr>
              <w:t>2564.19/2937</w:t>
            </w:r>
          </w:p>
        </w:tc>
      </w:tr>
      <w:tr w:rsidR="000D594F" w:rsidTr="000D594F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94F" w:rsidRDefault="000D594F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GB" w:eastAsia="cs-CZ"/>
              </w:rPr>
              <w:t>……………….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94F" w:rsidRDefault="000D594F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GB" w:eastAsia="cs-CZ"/>
              </w:rPr>
              <w:t>…………………..</w:t>
            </w:r>
          </w:p>
        </w:tc>
      </w:tr>
    </w:tbl>
    <w:p w:rsidR="000D594F" w:rsidRDefault="000D594F" w:rsidP="000D594F">
      <w:pPr>
        <w:rPr>
          <w:i/>
          <w:iCs/>
          <w:lang w:val="en-GB"/>
        </w:rPr>
      </w:pPr>
    </w:p>
    <w:p w:rsidR="000D594F" w:rsidRDefault="000D594F" w:rsidP="000D594F">
      <w:pPr>
        <w:rPr>
          <w:i/>
          <w:iCs/>
          <w:lang w:val="en-GB"/>
        </w:rPr>
      </w:pPr>
    </w:p>
    <w:p w:rsidR="000D594F" w:rsidRDefault="000D594F" w:rsidP="000D594F">
      <w:pPr>
        <w:rPr>
          <w:i/>
          <w:iCs/>
          <w:lang w:eastAsia="cs-CZ"/>
        </w:rPr>
      </w:pPr>
      <w:r>
        <w:rPr>
          <w:i/>
          <w:iCs/>
          <w:lang w:eastAsia="cs-CZ"/>
        </w:rPr>
        <w:t>S pozdravem</w:t>
      </w:r>
    </w:p>
    <w:p w:rsidR="000D594F" w:rsidRDefault="000D594F" w:rsidP="000D594F">
      <w:pPr>
        <w:rPr>
          <w:i/>
          <w:iCs/>
          <w:sz w:val="10"/>
          <w:szCs w:val="10"/>
          <w:lang w:eastAsia="cs-CZ"/>
        </w:rPr>
      </w:pPr>
    </w:p>
    <w:p w:rsidR="000D594F" w:rsidRDefault="000D594F" w:rsidP="000D594F">
      <w:pPr>
        <w:rPr>
          <w:i/>
          <w:iCs/>
          <w:lang w:eastAsia="cs-CZ"/>
        </w:rPr>
      </w:pPr>
      <w:r>
        <w:rPr>
          <w:i/>
          <w:iCs/>
          <w:lang w:eastAsia="cs-CZ"/>
        </w:rPr>
        <w:t>Oddělení 7302 - Regulace hazardu</w:t>
      </w:r>
    </w:p>
    <w:p w:rsidR="000D594F" w:rsidRDefault="000D594F" w:rsidP="000D594F">
      <w:pPr>
        <w:rPr>
          <w:i/>
          <w:iCs/>
          <w:lang w:eastAsia="cs-CZ"/>
        </w:rPr>
      </w:pPr>
      <w:r>
        <w:rPr>
          <w:i/>
          <w:iCs/>
          <w:lang w:eastAsia="cs-CZ"/>
        </w:rPr>
        <w:t>Odbor 73 - Procesní agendy a regulace hazardu</w:t>
      </w:r>
    </w:p>
    <w:p w:rsidR="000D594F" w:rsidRDefault="000D594F" w:rsidP="000D594F">
      <w:pPr>
        <w:rPr>
          <w:i/>
          <w:iCs/>
          <w:lang w:eastAsia="cs-CZ"/>
        </w:rPr>
      </w:pPr>
      <w:r>
        <w:rPr>
          <w:i/>
          <w:iCs/>
          <w:lang w:eastAsia="cs-CZ"/>
        </w:rPr>
        <w:t>Ministerstvo financí   </w:t>
      </w:r>
    </w:p>
    <w:p w:rsidR="000D594F" w:rsidRDefault="000D594F" w:rsidP="000D594F">
      <w:pPr>
        <w:rPr>
          <w:color w:val="4F81BD"/>
          <w:sz w:val="6"/>
          <w:szCs w:val="6"/>
          <w:lang w:eastAsia="cs-CZ"/>
        </w:rPr>
      </w:pPr>
    </w:p>
    <w:p w:rsidR="000D594F" w:rsidRDefault="000D594F" w:rsidP="000D594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735580" cy="868045"/>
            <wp:effectExtent l="0" t="0" r="7620" b="8255"/>
            <wp:docPr id="1" name="Obrázek 1" descr="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C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4F" w:rsidRDefault="000D594F" w:rsidP="000D594F">
      <w:pPr>
        <w:rPr>
          <w:i/>
          <w:iCs/>
          <w:lang w:val="en-GB"/>
        </w:rPr>
      </w:pPr>
    </w:p>
    <w:p w:rsidR="000D594F" w:rsidRDefault="000D594F" w:rsidP="000D594F">
      <w:pPr>
        <w:rPr>
          <w:i/>
          <w:iCs/>
          <w:lang w:val="en-GB"/>
        </w:rPr>
      </w:pPr>
    </w:p>
    <w:p w:rsidR="000D594F" w:rsidRDefault="000D594F" w:rsidP="000D594F">
      <w:pPr>
        <w:rPr>
          <w:i/>
          <w:iCs/>
          <w:lang w:val="en-GB"/>
        </w:rPr>
      </w:pPr>
    </w:p>
    <w:p w:rsidR="0021788E" w:rsidRPr="000D594F" w:rsidRDefault="0021788E">
      <w:pPr>
        <w:rPr>
          <w:rFonts w:ascii="Arial" w:hAnsi="Arial" w:cs="Arial"/>
          <w:sz w:val="24"/>
          <w:szCs w:val="24"/>
        </w:rPr>
      </w:pPr>
    </w:p>
    <w:sectPr w:rsidR="0021788E" w:rsidRPr="000D594F" w:rsidSect="000D59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4F"/>
    <w:rsid w:val="000D594F"/>
    <w:rsid w:val="002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4CA"/>
  <w15:chartTrackingRefBased/>
  <w15:docId w15:val="{5D9BDB54-4DD2-4AE6-AF25-E97ADE8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94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93FD.3512EF6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HelpdeskSDSL@m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Kvapilová Martina</dc:creator>
  <cp:keywords/>
  <dc:description/>
  <cp:lastModifiedBy>Kvapilová Martina</cp:lastModifiedBy>
  <cp:revision>1</cp:revision>
  <dcterms:created xsi:type="dcterms:W3CDTF">2019-11-06T10:46:00Z</dcterms:created>
  <dcterms:modified xsi:type="dcterms:W3CDTF">2019-11-06T10:49:00Z</dcterms:modified>
</cp:coreProperties>
</file>