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6" w:rsidRPr="00AB1BDF" w:rsidRDefault="00E93CA6">
      <w:pPr>
        <w:pStyle w:val="Nzev"/>
        <w:rPr>
          <w:rFonts w:ascii="Times New Roman" w:hAnsi="Times New Roman"/>
        </w:rPr>
      </w:pPr>
      <w:bookmarkStart w:id="0" w:name="_GoBack"/>
      <w:bookmarkEnd w:id="0"/>
      <w:r w:rsidRPr="00AB1BDF">
        <w:rPr>
          <w:rFonts w:ascii="Times New Roman" w:hAnsi="Times New Roman"/>
        </w:rPr>
        <w:t>Český účetní standard pro některé vybrané účetní jednotky</w:t>
      </w:r>
    </w:p>
    <w:p w:rsidR="00E93CA6" w:rsidRPr="00AB1BDF" w:rsidRDefault="00E93CA6">
      <w:pPr>
        <w:pStyle w:val="Nzev"/>
        <w:rPr>
          <w:rFonts w:ascii="Times New Roman" w:hAnsi="Times New Roman"/>
        </w:rPr>
      </w:pPr>
    </w:p>
    <w:p w:rsidR="00E93CA6" w:rsidRPr="00AB1BDF" w:rsidRDefault="00E93CA6">
      <w:pPr>
        <w:pStyle w:val="Nzev"/>
        <w:rPr>
          <w:rFonts w:ascii="Times New Roman" w:hAnsi="Times New Roman"/>
        </w:rPr>
      </w:pPr>
      <w:r w:rsidRPr="00AB1BDF">
        <w:rPr>
          <w:rFonts w:ascii="Times New Roman" w:hAnsi="Times New Roman"/>
        </w:rPr>
        <w:t>č. 706</w:t>
      </w:r>
    </w:p>
    <w:p w:rsidR="00E93CA6" w:rsidRPr="00AB1BDF" w:rsidRDefault="00E93CA6">
      <w:pPr>
        <w:pStyle w:val="Nzev"/>
        <w:rPr>
          <w:rFonts w:ascii="Times New Roman" w:hAnsi="Times New Roman"/>
        </w:rPr>
      </w:pPr>
    </w:p>
    <w:p w:rsidR="00E93CA6" w:rsidRPr="00AB1BDF" w:rsidRDefault="00E93CA6">
      <w:pPr>
        <w:pStyle w:val="Nzev"/>
        <w:rPr>
          <w:rFonts w:ascii="Times New Roman" w:hAnsi="Times New Roman"/>
        </w:rPr>
      </w:pPr>
      <w:r w:rsidRPr="00AB1BDF">
        <w:rPr>
          <w:rFonts w:ascii="Times New Roman" w:hAnsi="Times New Roman"/>
        </w:rPr>
        <w:t>Opravné položky</w:t>
      </w:r>
      <w:r w:rsidR="002965BC" w:rsidRPr="00AB1BDF">
        <w:rPr>
          <w:rFonts w:ascii="Times New Roman" w:hAnsi="Times New Roman"/>
        </w:rPr>
        <w:t xml:space="preserve"> a </w:t>
      </w:r>
      <w:r w:rsidR="00F362CF" w:rsidRPr="00AB1BDF">
        <w:rPr>
          <w:rFonts w:ascii="Times New Roman" w:hAnsi="Times New Roman"/>
        </w:rPr>
        <w:t xml:space="preserve">vyřazení </w:t>
      </w:r>
      <w:r w:rsidR="002965BC" w:rsidRPr="00AB1BDF">
        <w:rPr>
          <w:rFonts w:ascii="Times New Roman" w:hAnsi="Times New Roman"/>
        </w:rPr>
        <w:t>pohledávek</w:t>
      </w:r>
    </w:p>
    <w:p w:rsidR="00E93CA6" w:rsidRPr="00AB1BDF" w:rsidRDefault="00E93CA6">
      <w:pPr>
        <w:widowControl w:val="0"/>
        <w:autoSpaceDE w:val="0"/>
        <w:autoSpaceDN w:val="0"/>
        <w:adjustRightInd w:val="0"/>
        <w:jc w:val="center"/>
        <w:rPr>
          <w:b/>
          <w:bCs/>
          <w:szCs w:val="21"/>
        </w:rPr>
      </w:pPr>
    </w:p>
    <w:p w:rsidR="00E93CA6" w:rsidRPr="00AB1BDF" w:rsidRDefault="00E93CA6">
      <w:pPr>
        <w:numPr>
          <w:ilvl w:val="0"/>
          <w:numId w:val="3"/>
        </w:numPr>
        <w:rPr>
          <w:b/>
        </w:rPr>
      </w:pPr>
      <w:r w:rsidRPr="00AB1BDF">
        <w:rPr>
          <w:b/>
        </w:rPr>
        <w:t>Cíl</w:t>
      </w:r>
    </w:p>
    <w:p w:rsidR="00E93CA6" w:rsidRPr="00AB1BDF" w:rsidRDefault="00E93CA6">
      <w:pPr>
        <w:widowControl w:val="0"/>
        <w:autoSpaceDE w:val="0"/>
        <w:autoSpaceDN w:val="0"/>
        <w:adjustRightInd w:val="0"/>
        <w:jc w:val="center"/>
        <w:rPr>
          <w:szCs w:val="16"/>
        </w:rPr>
      </w:pPr>
      <w:r w:rsidRPr="00AB1BDF">
        <w:rPr>
          <w:szCs w:val="16"/>
        </w:rPr>
        <w:t xml:space="preserve"> </w:t>
      </w:r>
    </w:p>
    <w:p w:rsidR="00E93CA6" w:rsidRPr="00AB1BDF" w:rsidRDefault="00E93CA6">
      <w:pPr>
        <w:pStyle w:val="Zkladntext"/>
        <w:rPr>
          <w:rFonts w:ascii="Times New Roman" w:hAnsi="Times New Roman"/>
          <w:bCs/>
          <w:sz w:val="24"/>
          <w:szCs w:val="24"/>
        </w:rPr>
      </w:pPr>
      <w:r w:rsidRPr="00AB1BDF">
        <w:rPr>
          <w:rFonts w:ascii="Times New Roman" w:hAnsi="Times New Roman"/>
          <w:bCs/>
          <w:sz w:val="24"/>
          <w:szCs w:val="24"/>
        </w:rPr>
        <w:t xml:space="preserve">Cílem tohoto standardu je stanovit podle zákona č. 563/1991 Sb., o účetnictví, ve znění pozdějších předpisů, (dále jen „zákon“) a vyhlášky č. 410/2009 Sb., kterou se provádějí některá ustanovení zákona č. 563/1991 Sb., o účetnictví, ve znění pozdějších předpisů, pro některé vybrané účetní jednotky, ve znění pozdějších předpisů, (dále jen „vyhláška“) základní postupy účtování </w:t>
      </w:r>
      <w:r w:rsidR="002965BC" w:rsidRPr="00AB1BDF">
        <w:rPr>
          <w:rFonts w:ascii="Times New Roman" w:hAnsi="Times New Roman"/>
          <w:bCs/>
          <w:sz w:val="24"/>
          <w:szCs w:val="24"/>
        </w:rPr>
        <w:t xml:space="preserve">o opravných položkách a </w:t>
      </w:r>
      <w:r w:rsidR="00F362CF" w:rsidRPr="00AB1BDF">
        <w:rPr>
          <w:rFonts w:ascii="Times New Roman" w:hAnsi="Times New Roman"/>
          <w:bCs/>
          <w:sz w:val="24"/>
          <w:szCs w:val="24"/>
        </w:rPr>
        <w:t xml:space="preserve">vyřazení </w:t>
      </w:r>
      <w:r w:rsidR="002965BC" w:rsidRPr="00AB1BDF">
        <w:rPr>
          <w:rFonts w:ascii="Times New Roman" w:hAnsi="Times New Roman"/>
          <w:bCs/>
          <w:sz w:val="24"/>
          <w:szCs w:val="24"/>
        </w:rPr>
        <w:t>pohledávek</w:t>
      </w:r>
      <w:r w:rsidRPr="00AB1BDF">
        <w:rPr>
          <w:rFonts w:ascii="Times New Roman" w:hAnsi="Times New Roman"/>
          <w:bCs/>
          <w:sz w:val="24"/>
          <w:szCs w:val="24"/>
        </w:rPr>
        <w:t xml:space="preserve"> za účelem docílení souladu při používání účetních metod </w:t>
      </w:r>
      <w:r w:rsidR="002931B6">
        <w:rPr>
          <w:rFonts w:ascii="Times New Roman" w:hAnsi="Times New Roman"/>
          <w:b/>
          <w:bCs/>
          <w:sz w:val="24"/>
          <w:szCs w:val="24"/>
        </w:rPr>
        <w:t xml:space="preserve">některými </w:t>
      </w:r>
      <w:r w:rsidR="000E1E1F">
        <w:rPr>
          <w:rFonts w:ascii="Times New Roman" w:hAnsi="Times New Roman"/>
          <w:bCs/>
          <w:sz w:val="24"/>
          <w:szCs w:val="24"/>
        </w:rPr>
        <w:t xml:space="preserve">vybranými </w:t>
      </w:r>
      <w:r w:rsidRPr="00AB1BDF">
        <w:rPr>
          <w:rFonts w:ascii="Times New Roman" w:hAnsi="Times New Roman"/>
          <w:bCs/>
          <w:sz w:val="24"/>
          <w:szCs w:val="24"/>
        </w:rPr>
        <w:t xml:space="preserve">účetními jednotkami </w:t>
      </w:r>
      <w:r w:rsidR="00F53282" w:rsidRPr="001530EA">
        <w:rPr>
          <w:rFonts w:ascii="Times New Roman" w:hAnsi="Times New Roman"/>
          <w:bCs/>
          <w:sz w:val="24"/>
          <w:szCs w:val="24"/>
        </w:rPr>
        <w:t xml:space="preserve">zejména </w:t>
      </w:r>
      <w:r w:rsidRPr="00AB1BDF">
        <w:rPr>
          <w:rFonts w:ascii="Times New Roman" w:hAnsi="Times New Roman"/>
          <w:bCs/>
          <w:sz w:val="24"/>
          <w:szCs w:val="24"/>
        </w:rPr>
        <w:t>v položkách</w:t>
      </w:r>
    </w:p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6486"/>
        <w:gridCol w:w="1172"/>
      </w:tblGrid>
      <w:tr w:rsidR="00E93CA6" w:rsidRPr="00AB1BDF" w:rsidTr="00E15ACC">
        <w:trPr>
          <w:trHeight w:val="284"/>
          <w:jc w:val="center"/>
        </w:trPr>
        <w:tc>
          <w:tcPr>
            <w:tcW w:w="2343" w:type="dxa"/>
            <w:shd w:val="clear" w:color="auto" w:fill="C0C0C0"/>
            <w:vAlign w:val="center"/>
          </w:tcPr>
          <w:p w:rsidR="00E93CA6" w:rsidRPr="00AB1BDF" w:rsidRDefault="00E93CA6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BDF">
              <w:rPr>
                <w:rFonts w:ascii="Times New Roman" w:hAnsi="Times New Roman"/>
                <w:b/>
                <w:sz w:val="24"/>
                <w:szCs w:val="24"/>
              </w:rPr>
              <w:t>Číslo položky</w:t>
            </w:r>
          </w:p>
          <w:p w:rsidR="00E93CA6" w:rsidRPr="00AB1BDF" w:rsidRDefault="00E93CA6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BDF">
              <w:rPr>
                <w:rFonts w:ascii="Times New Roman" w:hAnsi="Times New Roman"/>
                <w:b/>
                <w:sz w:val="24"/>
                <w:szCs w:val="24"/>
              </w:rPr>
              <w:t xml:space="preserve">rozvahy </w:t>
            </w:r>
          </w:p>
        </w:tc>
        <w:tc>
          <w:tcPr>
            <w:tcW w:w="6486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BDF">
              <w:rPr>
                <w:rFonts w:ascii="Times New Roman" w:hAnsi="Times New Roman"/>
                <w:b/>
                <w:sz w:val="24"/>
                <w:szCs w:val="24"/>
              </w:rPr>
              <w:t>Název syntetického účtu</w:t>
            </w:r>
          </w:p>
        </w:tc>
        <w:tc>
          <w:tcPr>
            <w:tcW w:w="1172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2A01C4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01C4">
              <w:rPr>
                <w:rFonts w:ascii="Times New Roman" w:hAnsi="Times New Roman"/>
                <w:b/>
                <w:sz w:val="24"/>
                <w:szCs w:val="24"/>
              </w:rPr>
              <w:t>Syntetický účet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87C13" w:rsidRPr="004C79F5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D87C13" w:rsidRPr="00E15ACC" w:rsidRDefault="00D87C13" w:rsidP="00E15ACC">
            <w:pPr>
              <w:rPr>
                <w:b/>
              </w:rPr>
            </w:pPr>
            <w:r w:rsidRPr="0010369D">
              <w:t>A.IV.1.</w:t>
            </w:r>
            <w:r w:rsidR="00E15ACC">
              <w:rPr>
                <w:b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C13" w:rsidRPr="0010369D" w:rsidRDefault="00D87C13" w:rsidP="00B80F4A">
            <w:r w:rsidRPr="0010369D">
              <w:t>Opravné položky k poskytnutým návratným finančním výpomocem dlouhodobým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D87C13" w:rsidRPr="0010369D" w:rsidRDefault="00D87C13" w:rsidP="0010369D">
            <w:pPr>
              <w:ind w:firstLineChars="100" w:firstLine="240"/>
            </w:pPr>
            <w:r w:rsidRPr="0010369D">
              <w:t>142</w:t>
            </w:r>
          </w:p>
        </w:tc>
      </w:tr>
      <w:tr w:rsidR="00D87C13" w:rsidRPr="00CC4CE8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D87C13" w:rsidRPr="00CC4CE8" w:rsidRDefault="00D87C13" w:rsidP="00B80F4A">
            <w:r w:rsidRPr="00CC4CE8">
              <w:t>A.IV.2</w:t>
            </w:r>
            <w:r w:rsidR="00E15ACC">
              <w:rPr>
                <w:b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C13" w:rsidRPr="00CC4CE8" w:rsidRDefault="00D87C13" w:rsidP="00B80F4A">
            <w:r w:rsidRPr="00CC4CE8">
              <w:t>Opravné položky k dlouhodobým pohledávkám z postoupených úvěrů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D87C13" w:rsidRPr="0010369D" w:rsidRDefault="00D87C13" w:rsidP="0010369D">
            <w:pPr>
              <w:ind w:firstLineChars="100" w:firstLine="240"/>
            </w:pPr>
            <w:r w:rsidRPr="0010369D">
              <w:t>144</w:t>
            </w:r>
          </w:p>
        </w:tc>
      </w:tr>
      <w:tr w:rsidR="00D87C13" w:rsidRPr="004C79F5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D87C13" w:rsidRPr="00CC4CE8" w:rsidRDefault="00D87C13" w:rsidP="00B80F4A">
            <w:r w:rsidRPr="00CC4CE8">
              <w:t>A.IV.4.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C13" w:rsidRPr="00CC4CE8" w:rsidRDefault="00D87C13" w:rsidP="00B80F4A">
            <w:r w:rsidRPr="00CC4CE8">
              <w:t>Opravné položky k dlouhodobým pohledávkám z ručení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D87C13" w:rsidRPr="0010369D" w:rsidRDefault="00D87C13" w:rsidP="0010369D">
            <w:pPr>
              <w:ind w:firstLineChars="100" w:firstLine="240"/>
            </w:pPr>
            <w:r w:rsidRPr="0010369D">
              <w:t>146</w:t>
            </w:r>
          </w:p>
        </w:tc>
      </w:tr>
      <w:tr w:rsidR="00D87C13" w:rsidRPr="004C79F5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D87C13" w:rsidRPr="00CC4CE8" w:rsidRDefault="00D87C13" w:rsidP="00B80F4A">
            <w:r w:rsidRPr="00CC4CE8">
              <w:t>A.IV.6.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C13" w:rsidRPr="00CC4CE8" w:rsidRDefault="00D87C13" w:rsidP="00B80F4A">
            <w:r w:rsidRPr="00CC4CE8">
              <w:t>Opravné položky k ostatním dlouhodobým pohledávkám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D87C13" w:rsidRPr="0010369D" w:rsidRDefault="00D87C13" w:rsidP="0010369D">
            <w:pPr>
              <w:ind w:firstLineChars="100" w:firstLine="240"/>
            </w:pPr>
            <w:r w:rsidRPr="0010369D">
              <w:t>149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A.I.1.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nehmotným výsledkům výzkumu a vývoje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151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A.I.2.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software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152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A.I.3.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ocenitelným právům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153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A.I.4.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povolenkám na emise a preferenčním limitům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154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A.I.6.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ostatnímu dlouhodobému nehmotnému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156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A.I.7.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nedokončenému dlouhodobému nehmotnému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157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A.II.1.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pozemkům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161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A.II.2.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ke kulturním předmětům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162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A.II.3.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ke stavbám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163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A.II.4.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 xml:space="preserve">Opravné položky k samostatným </w:t>
            </w:r>
            <w:r w:rsidR="00251C72">
              <w:rPr>
                <w:b/>
              </w:rPr>
              <w:t xml:space="preserve">hmotným </w:t>
            </w:r>
            <w:r w:rsidRPr="00AB1BDF">
              <w:t xml:space="preserve">movitým věcem a souborům </w:t>
            </w:r>
            <w:r w:rsidR="00251C72">
              <w:rPr>
                <w:b/>
              </w:rPr>
              <w:t xml:space="preserve">hmotných </w:t>
            </w:r>
            <w:r w:rsidRPr="00AB1BDF">
              <w:t>movitých věcí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164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A.II.5.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pěstitelským celkům trvalých porostů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165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A.II.7.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ostatnímu dlouhodobému hmotnému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167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A.II.8.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nedokončenému dlouhodobému hmotnému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168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A.III.1.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majetkovým účastem v osobách s rozhodujícím vlivem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171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A.III.2.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majetkovým účastem v osobách s podstatným vlivem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172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A.III.3.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dluhovým cenným papírům drženým do splatnosti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173</w:t>
            </w:r>
          </w:p>
        </w:tc>
      </w:tr>
      <w:tr w:rsidR="00E37D19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37D19" w:rsidRPr="001530EA" w:rsidRDefault="00E37D19">
            <w:r w:rsidRPr="001530EA">
              <w:lastRenderedPageBreak/>
              <w:t>A.III.4.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D19" w:rsidRPr="001530EA" w:rsidRDefault="00E37D19">
            <w:r w:rsidRPr="001530EA">
              <w:t>Opravné položky k dlouhodobým půjčkám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37D19" w:rsidRPr="001530EA" w:rsidRDefault="00E37D19" w:rsidP="001530EA">
            <w:pPr>
              <w:ind w:firstLineChars="100" w:firstLine="240"/>
            </w:pPr>
            <w:r w:rsidRPr="001530EA">
              <w:t>175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8032DB" w:rsidRDefault="00E93CA6">
            <w:r w:rsidRPr="008032DB">
              <w:t xml:space="preserve"> A.III.</w:t>
            </w:r>
            <w:r w:rsidR="007F4E7B" w:rsidRPr="008032DB">
              <w:t>6</w:t>
            </w:r>
            <w:r w:rsidRPr="008032DB">
              <w:t>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ostatnímu dlouhodobému finančnímu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176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8032DB" w:rsidRDefault="00E93CA6">
            <w:r w:rsidRPr="008032DB">
              <w:t xml:space="preserve"> A.III.</w:t>
            </w:r>
            <w:r w:rsidR="007F4E7B" w:rsidRPr="008032DB">
              <w:t>7</w:t>
            </w:r>
            <w:r w:rsidRPr="008032DB">
              <w:t>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pořizovanému dlouhodobému finančnímu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177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B.I.2.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materiálu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181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B.I.4.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nedokončené výrobě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182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B.I.5.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polotovarům vlastní výroby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183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B.I.6.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výrobkům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184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B.I.8.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ke zboží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185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B.I.10.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ostatním zásobám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186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1530EA" w:rsidRDefault="00874638">
            <w:r w:rsidRPr="001530EA">
              <w:t xml:space="preserve"> B.II.2.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rPr>
                <w:rFonts w:eastAsia="Arial Unicode MS"/>
              </w:rPr>
            </w:pPr>
            <w:r w:rsidRPr="001530EA">
              <w:t>Opravné položky k</w:t>
            </w:r>
            <w:r w:rsidR="00874638" w:rsidRPr="001530EA">
              <w:t> směnkám k inkasu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 w:rsidP="001530EA">
            <w:pPr>
              <w:ind w:firstLineChars="100" w:firstLine="240"/>
              <w:rPr>
                <w:rFonts w:eastAsia="Arial Unicode MS"/>
              </w:rPr>
            </w:pPr>
            <w:r w:rsidRPr="001530EA">
              <w:t>191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1530EA" w:rsidRDefault="00874638">
            <w:r w:rsidRPr="001530EA">
              <w:t xml:space="preserve"> B.II.5.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rPr>
                <w:rFonts w:eastAsia="Arial Unicode MS"/>
              </w:rPr>
            </w:pPr>
            <w:r w:rsidRPr="001530EA">
              <w:t>Opravné položky k</w:t>
            </w:r>
            <w:r w:rsidR="00874638" w:rsidRPr="001530EA">
              <w:t> jiným pohledávkám z hlavní činnosti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 w:rsidP="001530EA">
            <w:pPr>
              <w:ind w:firstLineChars="100" w:firstLine="240"/>
              <w:rPr>
                <w:rFonts w:eastAsia="Arial Unicode MS"/>
              </w:rPr>
            </w:pPr>
            <w:r w:rsidRPr="001530EA">
              <w:t>192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1530EA" w:rsidRDefault="00874638">
            <w:r w:rsidRPr="001530EA">
              <w:t xml:space="preserve"> B.II.6.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rPr>
                <w:rFonts w:eastAsia="Arial Unicode MS"/>
              </w:rPr>
            </w:pPr>
            <w:r w:rsidRPr="001530EA">
              <w:t>Opravné položky k</w:t>
            </w:r>
            <w:r w:rsidR="00874638" w:rsidRPr="001530EA">
              <w:t> poskytnutým návratným finančním výpomocem krátkodobým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 w:rsidP="001530EA">
            <w:pPr>
              <w:ind w:firstLineChars="100" w:firstLine="240"/>
              <w:rPr>
                <w:rFonts w:eastAsia="Arial Unicode MS"/>
              </w:rPr>
            </w:pPr>
            <w:r w:rsidRPr="001530EA">
              <w:t>193</w:t>
            </w:r>
          </w:p>
        </w:tc>
      </w:tr>
      <w:tr w:rsidR="00E93CA6" w:rsidRPr="00AB1BDF" w:rsidTr="00E15ACC">
        <w:trPr>
          <w:trHeight w:val="442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B.II.1.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 odběratelům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194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E93CA6" w:rsidRPr="00AB1BDF" w:rsidRDefault="00E93CA6">
            <w:r w:rsidRPr="00AB1BDF">
              <w:t xml:space="preserve"> B.II.7.</w:t>
            </w:r>
            <w:r w:rsidR="00E15ACC">
              <w:rPr>
                <w:b/>
              </w:rPr>
              <w:t xml:space="preserve">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</w:rPr>
            </w:pPr>
            <w:r w:rsidRPr="00AB1BDF">
              <w:t>Opravné položky ke krátkodobým pohledávkám z postoupených úvěrů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ind w:firstLineChars="100" w:firstLine="240"/>
              <w:rPr>
                <w:rFonts w:eastAsia="Arial Unicode MS"/>
              </w:rPr>
            </w:pPr>
            <w:r w:rsidRPr="00AB1BDF">
              <w:t>195</w:t>
            </w:r>
          </w:p>
        </w:tc>
      </w:tr>
      <w:tr w:rsidR="00001AD0" w:rsidRPr="00AB1BDF" w:rsidTr="00DB48EF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strike/>
              </w:rPr>
            </w:pPr>
            <w:r w:rsidRPr="00001AD0">
              <w:rPr>
                <w:strike/>
              </w:rPr>
              <w:t xml:space="preserve">B.II.8. </w:t>
            </w:r>
            <w:r w:rsidRPr="00001AD0">
              <w:rPr>
                <w:b/>
                <w:strike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 xml:space="preserve">Opravné položky k pohledávkám z titulu daní a obdobných dávek 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ind w:firstLineChars="100" w:firstLine="240"/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196</w:t>
            </w:r>
          </w:p>
        </w:tc>
      </w:tr>
      <w:tr w:rsidR="00001AD0" w:rsidRPr="00251C72" w:rsidTr="00DB48EF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strike/>
              </w:rPr>
            </w:pPr>
            <w:r w:rsidRPr="00001AD0">
              <w:rPr>
                <w:strike/>
              </w:rPr>
              <w:t xml:space="preserve">B.II.18. </w:t>
            </w:r>
            <w:r w:rsidRPr="00001AD0">
              <w:rPr>
                <w:b/>
                <w:strike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Opravné položky k pohledávkám za účastníky sdružení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ind w:firstLineChars="100" w:firstLine="240"/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197</w:t>
            </w:r>
          </w:p>
        </w:tc>
      </w:tr>
      <w:tr w:rsidR="00001AD0" w:rsidRPr="00AB1BDF" w:rsidTr="00DB48EF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strike/>
              </w:rPr>
            </w:pPr>
            <w:r w:rsidRPr="00001AD0">
              <w:rPr>
                <w:strike/>
              </w:rPr>
              <w:t xml:space="preserve">B.II.19. </w:t>
            </w:r>
            <w:r w:rsidRPr="00001AD0">
              <w:rPr>
                <w:b/>
                <w:strike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Opravné položky ke krátkodobým pohledávkám z ručení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ind w:firstLineChars="100" w:firstLine="240"/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198</w:t>
            </w:r>
          </w:p>
        </w:tc>
      </w:tr>
      <w:tr w:rsidR="00001AD0" w:rsidRPr="00AB1BDF" w:rsidTr="00DB48EF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strike/>
              </w:rPr>
            </w:pPr>
            <w:r w:rsidRPr="00001AD0">
              <w:rPr>
                <w:strike/>
              </w:rPr>
              <w:t xml:space="preserve">B.II.28. </w:t>
            </w:r>
            <w:r w:rsidRPr="00001AD0">
              <w:rPr>
                <w:b/>
                <w:strike/>
              </w:rPr>
              <w:t>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Opravné položky k ostatním krátkodobým pohledávkám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ind w:firstLineChars="100" w:firstLine="240"/>
              <w:rPr>
                <w:rFonts w:eastAsia="Arial Unicode MS"/>
                <w:strike/>
              </w:rPr>
            </w:pPr>
            <w:r w:rsidRPr="00001AD0">
              <w:rPr>
                <w:strike/>
              </w:rPr>
              <w:t>199</w:t>
            </w:r>
          </w:p>
        </w:tc>
      </w:tr>
      <w:tr w:rsidR="00001AD0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b/>
              </w:rPr>
            </w:pPr>
            <w:r w:rsidRPr="00001AD0">
              <w:rPr>
                <w:b/>
              </w:rPr>
              <w:t>B.II.19.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4D0F2A">
            <w:pPr>
              <w:rPr>
                <w:rFonts w:eastAsia="Arial Unicode MS"/>
                <w:b/>
              </w:rPr>
            </w:pPr>
            <w:r w:rsidRPr="00001AD0">
              <w:rPr>
                <w:b/>
              </w:rPr>
              <w:t>Opravné polož</w:t>
            </w:r>
            <w:r w:rsidR="004D0F2A">
              <w:rPr>
                <w:b/>
              </w:rPr>
              <w:t>ky k pohledávkám ze správy daní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001AD0">
            <w:pPr>
              <w:ind w:firstLineChars="100" w:firstLine="241"/>
              <w:rPr>
                <w:rFonts w:eastAsia="Arial Unicode MS"/>
                <w:b/>
              </w:rPr>
            </w:pPr>
            <w:r w:rsidRPr="00001AD0">
              <w:rPr>
                <w:b/>
              </w:rPr>
              <w:t>196</w:t>
            </w:r>
          </w:p>
        </w:tc>
      </w:tr>
      <w:tr w:rsidR="00001AD0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b/>
              </w:rPr>
            </w:pPr>
            <w:r w:rsidRPr="00001AD0">
              <w:rPr>
                <w:b/>
              </w:rPr>
              <w:t>B.II.23.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b/>
              </w:rPr>
            </w:pPr>
            <w:r w:rsidRPr="00001AD0">
              <w:rPr>
                <w:b/>
              </w:rPr>
              <w:t>Opravné položky ke krátkodobým pohledávkám z ručení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001AD0">
            <w:pPr>
              <w:ind w:firstLineChars="100" w:firstLine="241"/>
              <w:rPr>
                <w:rFonts w:eastAsia="Arial Unicode MS"/>
                <w:b/>
              </w:rPr>
            </w:pPr>
            <w:r w:rsidRPr="00001AD0">
              <w:rPr>
                <w:b/>
              </w:rPr>
              <w:t>198</w:t>
            </w:r>
          </w:p>
        </w:tc>
      </w:tr>
      <w:tr w:rsidR="00001AD0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001AD0" w:rsidRDefault="00001AD0" w:rsidP="00DB48EF">
            <w:pPr>
              <w:rPr>
                <w:b/>
              </w:rPr>
            </w:pPr>
            <w:r w:rsidRPr="00001AD0">
              <w:rPr>
                <w:b/>
              </w:rPr>
              <w:t>B.II.32. , sl. korekce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DB48EF">
            <w:pPr>
              <w:rPr>
                <w:rFonts w:eastAsia="Arial Unicode MS"/>
                <w:b/>
              </w:rPr>
            </w:pPr>
            <w:r w:rsidRPr="00001AD0">
              <w:rPr>
                <w:b/>
              </w:rPr>
              <w:t>Opravné položky k ostatním krátkodobým pohledávkám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001AD0" w:rsidRDefault="00001AD0" w:rsidP="00001AD0">
            <w:pPr>
              <w:ind w:firstLineChars="100" w:firstLine="241"/>
              <w:rPr>
                <w:rFonts w:eastAsia="Arial Unicode MS"/>
                <w:b/>
              </w:rPr>
            </w:pPr>
            <w:r w:rsidRPr="00001AD0">
              <w:rPr>
                <w:b/>
              </w:rPr>
              <w:t>199</w:t>
            </w:r>
          </w:p>
        </w:tc>
      </w:tr>
      <w:tr w:rsidR="00001AD0" w:rsidRPr="00AB1BDF" w:rsidTr="00E15ACC">
        <w:trPr>
          <w:trHeight w:val="284"/>
          <w:jc w:val="center"/>
        </w:trPr>
        <w:tc>
          <w:tcPr>
            <w:tcW w:w="2343" w:type="dxa"/>
            <w:vAlign w:val="center"/>
          </w:tcPr>
          <w:p w:rsidR="00001AD0" w:rsidRPr="001530EA" w:rsidRDefault="00001AD0">
            <w:r w:rsidRPr="001530EA">
              <w:t xml:space="preserve"> C.I.3.</w:t>
            </w:r>
          </w:p>
        </w:tc>
        <w:tc>
          <w:tcPr>
            <w:tcW w:w="6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AD0" w:rsidRPr="001530EA" w:rsidRDefault="00001AD0">
            <w:r w:rsidRPr="001530EA">
              <w:t>Transfery na pořízení dlouhodobého majetku</w:t>
            </w:r>
          </w:p>
        </w:tc>
        <w:tc>
          <w:tcPr>
            <w:tcW w:w="1172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01AD0" w:rsidRPr="001530EA" w:rsidRDefault="00001AD0" w:rsidP="001530EA">
            <w:pPr>
              <w:ind w:firstLineChars="100" w:firstLine="240"/>
            </w:pPr>
            <w:r w:rsidRPr="001530EA">
              <w:t>403</w:t>
            </w:r>
          </w:p>
        </w:tc>
      </w:tr>
    </w:tbl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AB1BDF" w:rsidRDefault="00E93CA6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tbl>
      <w:tblPr>
        <w:tblW w:w="10039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6563"/>
        <w:gridCol w:w="1191"/>
      </w:tblGrid>
      <w:tr w:rsidR="00E93CA6" w:rsidRPr="00AB1BDF" w:rsidTr="00E15ACC">
        <w:trPr>
          <w:cantSplit/>
          <w:trHeight w:val="285"/>
          <w:jc w:val="center"/>
        </w:trPr>
        <w:tc>
          <w:tcPr>
            <w:tcW w:w="2285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  <w:r w:rsidRPr="00AB1BDF">
              <w:rPr>
                <w:b/>
                <w:bCs/>
              </w:rPr>
              <w:t>Číslo položky výkazu zisku a ztráty</w:t>
            </w:r>
          </w:p>
        </w:tc>
        <w:tc>
          <w:tcPr>
            <w:tcW w:w="6563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  <w:r w:rsidRPr="00AB1BDF">
              <w:rPr>
                <w:b/>
                <w:bCs/>
              </w:rPr>
              <w:t>Název položky výkazu zisku a ztráty</w:t>
            </w:r>
          </w:p>
        </w:tc>
        <w:tc>
          <w:tcPr>
            <w:tcW w:w="1191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  <w:r w:rsidRPr="00AB1BDF">
              <w:rPr>
                <w:b/>
                <w:bCs/>
              </w:rPr>
              <w:t>Syntetický účet</w:t>
            </w:r>
          </w:p>
        </w:tc>
      </w:tr>
      <w:tr w:rsidR="00E93CA6" w:rsidRPr="00AB1BDF" w:rsidTr="00E15ACC">
        <w:trPr>
          <w:cantSplit/>
          <w:trHeight w:val="285"/>
          <w:jc w:val="center"/>
        </w:trPr>
        <w:tc>
          <w:tcPr>
            <w:tcW w:w="2285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563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91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</w:tr>
      <w:tr w:rsidR="00E93CA6" w:rsidRPr="00AB1BDF" w:rsidTr="00E15ACC">
        <w:trPr>
          <w:cantSplit/>
          <w:trHeight w:val="285"/>
          <w:jc w:val="center"/>
        </w:trPr>
        <w:tc>
          <w:tcPr>
            <w:tcW w:w="2285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563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91" w:type="dxa"/>
            <w:vMerge/>
            <w:vAlign w:val="center"/>
          </w:tcPr>
          <w:p w:rsidR="00E93CA6" w:rsidRPr="00AB1BDF" w:rsidRDefault="00E93CA6">
            <w:pPr>
              <w:rPr>
                <w:rFonts w:eastAsia="Arial Unicode MS"/>
                <w:b/>
                <w:bCs/>
              </w:rPr>
            </w:pP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285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B92B51">
            <w:r w:rsidRPr="001530EA">
              <w:t>A.I.33</w:t>
            </w:r>
            <w:r w:rsidR="00E93CA6" w:rsidRPr="001530EA">
              <w:t>.</w:t>
            </w:r>
          </w:p>
        </w:tc>
        <w:tc>
          <w:tcPr>
            <w:tcW w:w="6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r w:rsidRPr="001530EA">
              <w:t>Tvorba a zúčtování opravných položek</w:t>
            </w:r>
          </w:p>
        </w:tc>
        <w:tc>
          <w:tcPr>
            <w:tcW w:w="1191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ind w:firstLineChars="100" w:firstLine="240"/>
            </w:pPr>
            <w:r w:rsidRPr="001530EA">
              <w:t>556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285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B92B51">
            <w:pPr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>A.I.34</w:t>
            </w:r>
            <w:r w:rsidR="00E93CA6" w:rsidRPr="001530EA">
              <w:rPr>
                <w:rFonts w:eastAsia="Arial Unicode MS"/>
              </w:rPr>
              <w:t>.</w:t>
            </w:r>
          </w:p>
        </w:tc>
        <w:tc>
          <w:tcPr>
            <w:tcW w:w="6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1530EA">
            <w:pPr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>Náklady z</w:t>
            </w:r>
            <w:r w:rsidR="00E93CA6" w:rsidRPr="001530EA">
              <w:rPr>
                <w:rFonts w:eastAsia="Arial Unicode MS"/>
              </w:rPr>
              <w:t xml:space="preserve"> </w:t>
            </w:r>
            <w:r w:rsidR="00F90560" w:rsidRPr="001530EA">
              <w:rPr>
                <w:rFonts w:eastAsia="Arial Unicode MS"/>
              </w:rPr>
              <w:t xml:space="preserve">vyřazených </w:t>
            </w:r>
            <w:r w:rsidR="00E93CA6" w:rsidRPr="001530EA">
              <w:rPr>
                <w:rFonts w:eastAsia="Arial Unicode MS"/>
              </w:rPr>
              <w:t>pohledávek</w:t>
            </w:r>
          </w:p>
        </w:tc>
        <w:tc>
          <w:tcPr>
            <w:tcW w:w="1191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ind w:firstLineChars="100" w:firstLine="240"/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>557</w:t>
            </w:r>
          </w:p>
        </w:tc>
      </w:tr>
      <w:tr w:rsidR="00E93CA6" w:rsidRPr="00AB1BDF" w:rsidTr="00E15ACC">
        <w:trPr>
          <w:trHeight w:val="284"/>
          <w:jc w:val="center"/>
        </w:trPr>
        <w:tc>
          <w:tcPr>
            <w:tcW w:w="2285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B92B51">
            <w:pPr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>B.I.11</w:t>
            </w:r>
            <w:r w:rsidR="00E93CA6" w:rsidRPr="001530EA">
              <w:rPr>
                <w:rFonts w:eastAsia="Arial Unicode MS"/>
              </w:rPr>
              <w:t>.</w:t>
            </w:r>
          </w:p>
        </w:tc>
        <w:tc>
          <w:tcPr>
            <w:tcW w:w="6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 xml:space="preserve">Výnosy z </w:t>
            </w:r>
            <w:r w:rsidR="00F90560" w:rsidRPr="001530EA">
              <w:rPr>
                <w:rFonts w:eastAsia="Arial Unicode MS"/>
              </w:rPr>
              <w:t xml:space="preserve">vyřazených </w:t>
            </w:r>
            <w:r w:rsidRPr="001530EA">
              <w:rPr>
                <w:rFonts w:eastAsia="Arial Unicode MS"/>
              </w:rPr>
              <w:t>pohledávek</w:t>
            </w:r>
          </w:p>
        </w:tc>
        <w:tc>
          <w:tcPr>
            <w:tcW w:w="1191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3CA6" w:rsidRPr="001530EA" w:rsidRDefault="00E93CA6">
            <w:pPr>
              <w:ind w:firstLineChars="100" w:firstLine="240"/>
              <w:rPr>
                <w:rFonts w:eastAsia="Arial Unicode MS"/>
              </w:rPr>
            </w:pPr>
            <w:r w:rsidRPr="001530EA">
              <w:rPr>
                <w:rFonts w:eastAsia="Arial Unicode MS"/>
              </w:rPr>
              <w:t>643</w:t>
            </w:r>
          </w:p>
        </w:tc>
      </w:tr>
    </w:tbl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  <w:r w:rsidRPr="00AB1BDF">
        <w:rPr>
          <w:rFonts w:ascii="Times New Roman" w:hAnsi="Times New Roman"/>
          <w:sz w:val="24"/>
        </w:rPr>
        <w:t>vykazovaných za podmínek stanovených vyhláškou.</w:t>
      </w:r>
    </w:p>
    <w:p w:rsidR="00E93CA6" w:rsidRDefault="00E93CA6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AB1BDF">
        <w:rPr>
          <w:szCs w:val="16"/>
        </w:rPr>
        <w:t xml:space="preserve"> </w:t>
      </w:r>
    </w:p>
    <w:p w:rsidR="00894467" w:rsidRPr="00AB1BDF" w:rsidRDefault="00894467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E93CA6" w:rsidRPr="00AB1BDF" w:rsidRDefault="00E93CA6">
      <w:pPr>
        <w:numPr>
          <w:ilvl w:val="0"/>
          <w:numId w:val="3"/>
        </w:numPr>
        <w:rPr>
          <w:b/>
        </w:rPr>
      </w:pPr>
      <w:r w:rsidRPr="00AB1BDF">
        <w:rPr>
          <w:b/>
        </w:rPr>
        <w:t>Předmět standardu</w:t>
      </w:r>
    </w:p>
    <w:p w:rsidR="00E93CA6" w:rsidRPr="00AB1BDF" w:rsidRDefault="00E93CA6"/>
    <w:p w:rsidR="00E93CA6" w:rsidRPr="00AB1BDF" w:rsidRDefault="00E93CA6">
      <w:pPr>
        <w:pStyle w:val="Zkladntext"/>
        <w:tabs>
          <w:tab w:val="left" w:pos="2880"/>
          <w:tab w:val="right" w:pos="8820"/>
        </w:tabs>
        <w:rPr>
          <w:rFonts w:ascii="Times New Roman" w:hAnsi="Times New Roman"/>
          <w:bCs/>
          <w:sz w:val="24"/>
          <w:szCs w:val="24"/>
        </w:rPr>
      </w:pPr>
      <w:r w:rsidRPr="00AB1BDF">
        <w:rPr>
          <w:rFonts w:ascii="Times New Roman" w:hAnsi="Times New Roman"/>
          <w:bCs/>
          <w:sz w:val="24"/>
          <w:szCs w:val="24"/>
        </w:rPr>
        <w:t>Standard upravuje:</w:t>
      </w:r>
    </w:p>
    <w:p w:rsidR="00E93CA6" w:rsidRPr="00AB1BDF" w:rsidRDefault="00E93CA6">
      <w:pPr>
        <w:pStyle w:val="Zkladntext"/>
        <w:tabs>
          <w:tab w:val="left" w:pos="2880"/>
          <w:tab w:val="right" w:pos="882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</w:tblGrid>
      <w:tr w:rsidR="00E93CA6" w:rsidRPr="006E6D00">
        <w:tc>
          <w:tcPr>
            <w:tcW w:w="1188" w:type="dxa"/>
          </w:tcPr>
          <w:p w:rsidR="00E93CA6" w:rsidRPr="00D67CF7" w:rsidRDefault="00E93CA6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Bod 3.</w:t>
            </w:r>
          </w:p>
        </w:tc>
        <w:tc>
          <w:tcPr>
            <w:tcW w:w="7200" w:type="dxa"/>
          </w:tcPr>
          <w:p w:rsidR="00E93CA6" w:rsidRPr="00D67CF7" w:rsidRDefault="00E93CA6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Obecná pravidla k postupům účtování o opravných položkách</w:t>
            </w:r>
          </w:p>
        </w:tc>
      </w:tr>
      <w:tr w:rsidR="00E638BA" w:rsidRPr="006E6D00">
        <w:tc>
          <w:tcPr>
            <w:tcW w:w="1188" w:type="dxa"/>
          </w:tcPr>
          <w:p w:rsidR="00E638BA" w:rsidRPr="00D67CF7" w:rsidRDefault="00E638BA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Bod 4.</w:t>
            </w:r>
          </w:p>
        </w:tc>
        <w:tc>
          <w:tcPr>
            <w:tcW w:w="7200" w:type="dxa"/>
          </w:tcPr>
          <w:p w:rsidR="00E638BA" w:rsidRPr="00D67CF7" w:rsidRDefault="00E638BA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Postup účtování</w:t>
            </w:r>
            <w:r w:rsidR="00F60365" w:rsidRPr="00D67CF7">
              <w:rPr>
                <w:rFonts w:ascii="Times New Roman" w:hAnsi="Times New Roman"/>
                <w:bCs/>
                <w:sz w:val="24"/>
                <w:szCs w:val="24"/>
              </w:rPr>
              <w:t xml:space="preserve"> o opravných položkách</w:t>
            </w:r>
          </w:p>
        </w:tc>
      </w:tr>
      <w:tr w:rsidR="00F60365" w:rsidRPr="006E6D00">
        <w:tc>
          <w:tcPr>
            <w:tcW w:w="1188" w:type="dxa"/>
          </w:tcPr>
          <w:p w:rsidR="00F60365" w:rsidRPr="00D67CF7" w:rsidRDefault="00F60365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Bod 5.</w:t>
            </w:r>
          </w:p>
        </w:tc>
        <w:tc>
          <w:tcPr>
            <w:tcW w:w="7200" w:type="dxa"/>
          </w:tcPr>
          <w:p w:rsidR="00F60365" w:rsidRPr="00D67CF7" w:rsidRDefault="00F60365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 xml:space="preserve">Obecná pravidla k postupům účtování o </w:t>
            </w:r>
            <w:r w:rsidR="00B33FFC" w:rsidRPr="00D67CF7">
              <w:rPr>
                <w:rFonts w:ascii="Times New Roman" w:hAnsi="Times New Roman"/>
                <w:bCs/>
                <w:sz w:val="24"/>
                <w:szCs w:val="24"/>
              </w:rPr>
              <w:t xml:space="preserve">vyřazení </w:t>
            </w: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pohledávek</w:t>
            </w:r>
          </w:p>
        </w:tc>
      </w:tr>
      <w:tr w:rsidR="00F60365" w:rsidRPr="006E6D00">
        <w:tc>
          <w:tcPr>
            <w:tcW w:w="1188" w:type="dxa"/>
          </w:tcPr>
          <w:p w:rsidR="00F60365" w:rsidRPr="00D67CF7" w:rsidRDefault="00F60365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Bod 6.</w:t>
            </w:r>
          </w:p>
        </w:tc>
        <w:tc>
          <w:tcPr>
            <w:tcW w:w="7200" w:type="dxa"/>
          </w:tcPr>
          <w:p w:rsidR="00F60365" w:rsidRPr="00D67CF7" w:rsidRDefault="00F60365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 xml:space="preserve">Postup účtování o </w:t>
            </w:r>
            <w:r w:rsidR="00B33FFC" w:rsidRPr="00D67CF7">
              <w:rPr>
                <w:rFonts w:ascii="Times New Roman" w:hAnsi="Times New Roman"/>
                <w:bCs/>
                <w:sz w:val="24"/>
                <w:szCs w:val="24"/>
              </w:rPr>
              <w:t xml:space="preserve">vyřazení </w:t>
            </w:r>
            <w:r w:rsidRPr="00D67CF7">
              <w:rPr>
                <w:rFonts w:ascii="Times New Roman" w:hAnsi="Times New Roman"/>
                <w:bCs/>
                <w:sz w:val="24"/>
                <w:szCs w:val="24"/>
              </w:rPr>
              <w:t>pohledávek</w:t>
            </w:r>
          </w:p>
        </w:tc>
      </w:tr>
      <w:tr w:rsidR="006E5D5B" w:rsidRPr="006E6D00">
        <w:tc>
          <w:tcPr>
            <w:tcW w:w="1188" w:type="dxa"/>
          </w:tcPr>
          <w:p w:rsidR="006E5D5B" w:rsidRPr="006E5D5B" w:rsidRDefault="006E5D5B">
            <w:pPr>
              <w:pStyle w:val="Zklad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5B">
              <w:rPr>
                <w:rFonts w:ascii="Times New Roman" w:hAnsi="Times New Roman"/>
                <w:b/>
                <w:bCs/>
                <w:sz w:val="24"/>
                <w:szCs w:val="24"/>
              </w:rPr>
              <w:t>Bod 7.</w:t>
            </w:r>
          </w:p>
        </w:tc>
        <w:tc>
          <w:tcPr>
            <w:tcW w:w="7200" w:type="dxa"/>
          </w:tcPr>
          <w:p w:rsidR="006E5D5B" w:rsidRPr="006E5D5B" w:rsidRDefault="006E5D5B">
            <w:pPr>
              <w:pStyle w:val="Zklad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5B">
              <w:rPr>
                <w:rFonts w:ascii="Times New Roman" w:hAnsi="Times New Roman"/>
                <w:b/>
                <w:bCs/>
                <w:sz w:val="24"/>
                <w:szCs w:val="24"/>
              </w:rPr>
              <w:t>Přechodná ustanovení</w:t>
            </w:r>
          </w:p>
        </w:tc>
      </w:tr>
    </w:tbl>
    <w:p w:rsidR="004C238C" w:rsidRDefault="004C238C" w:rsidP="004C238C">
      <w:pPr>
        <w:rPr>
          <w:b/>
        </w:rPr>
      </w:pPr>
    </w:p>
    <w:p w:rsidR="00894467" w:rsidRDefault="00894467" w:rsidP="004C238C">
      <w:pPr>
        <w:rPr>
          <w:b/>
        </w:rPr>
      </w:pPr>
    </w:p>
    <w:p w:rsidR="00E93CA6" w:rsidRPr="00AB1BDF" w:rsidRDefault="00E93CA6">
      <w:pPr>
        <w:numPr>
          <w:ilvl w:val="0"/>
          <w:numId w:val="3"/>
        </w:numPr>
        <w:rPr>
          <w:b/>
        </w:rPr>
      </w:pPr>
      <w:r w:rsidRPr="00AB1BDF">
        <w:rPr>
          <w:b/>
        </w:rPr>
        <w:t>Obecná pravidla k postupům účtování o opravných položkách</w:t>
      </w:r>
    </w:p>
    <w:p w:rsidR="00E93CA6" w:rsidRPr="00AB1BDF" w:rsidRDefault="00E93CA6">
      <w:pPr>
        <w:widowControl w:val="0"/>
        <w:autoSpaceDE w:val="0"/>
        <w:autoSpaceDN w:val="0"/>
        <w:adjustRightInd w:val="0"/>
        <w:jc w:val="center"/>
        <w:rPr>
          <w:b/>
          <w:bCs/>
          <w:szCs w:val="16"/>
        </w:rPr>
      </w:pPr>
    </w:p>
    <w:p w:rsidR="00E93CA6" w:rsidRPr="00AB1BDF" w:rsidRDefault="00E93CA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 xml:space="preserve">Opravné položky se vykazují podle § 4 odst. 3 vyhlášky v rozvaze ve sloupci „Korekce“. </w:t>
      </w:r>
    </w:p>
    <w:p w:rsidR="00E93CA6" w:rsidRPr="00AB1BDF" w:rsidRDefault="00E93CA6">
      <w:pPr>
        <w:jc w:val="both"/>
        <w:rPr>
          <w:szCs w:val="16"/>
        </w:rPr>
      </w:pPr>
    </w:p>
    <w:p w:rsidR="00E93CA6" w:rsidRPr="00AB1BDF" w:rsidRDefault="00E93CA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 xml:space="preserve">Opravné položky vyjadřují přechodné snížení hodnoty majetku </w:t>
      </w:r>
      <w:r w:rsidR="00EE5265" w:rsidRPr="00AB1BDF">
        <w:rPr>
          <w:szCs w:val="16"/>
        </w:rPr>
        <w:t xml:space="preserve">podle § 26 odst. 3 zákona </w:t>
      </w:r>
      <w:r w:rsidRPr="00AB1BDF">
        <w:rPr>
          <w:szCs w:val="16"/>
        </w:rPr>
        <w:t>za podmínek uvedených v §</w:t>
      </w:r>
      <w:r w:rsidR="00EE5265" w:rsidRPr="00AB1BDF">
        <w:rPr>
          <w:szCs w:val="16"/>
        </w:rPr>
        <w:t xml:space="preserve"> </w:t>
      </w:r>
      <w:r w:rsidRPr="00AB1BDF">
        <w:rPr>
          <w:szCs w:val="16"/>
        </w:rPr>
        <w:t>13, 16, 18, 21, 23 a 65 vyhlášky.</w:t>
      </w:r>
    </w:p>
    <w:p w:rsidR="00E93CA6" w:rsidRPr="00AB1BDF" w:rsidRDefault="00E93CA6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E93CA6" w:rsidRPr="00AB1BDF" w:rsidRDefault="00EE5265" w:rsidP="006B728D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</w:pPr>
      <w:r w:rsidRPr="00AB1BDF">
        <w:t>Přechodné snížení hodnoty majetku</w:t>
      </w:r>
      <w:r w:rsidR="00E93CA6" w:rsidRPr="00AB1BDF">
        <w:t xml:space="preserve"> se </w:t>
      </w:r>
      <w:r w:rsidRPr="00AB1BDF">
        <w:t>zobrazuje  </w:t>
      </w:r>
      <w:r w:rsidR="00E93CA6" w:rsidRPr="00AB1BDF">
        <w:t xml:space="preserve">v účetnictví </w:t>
      </w:r>
      <w:r w:rsidR="0015270E" w:rsidRPr="00AB1BDF">
        <w:t xml:space="preserve">účetní jednotky </w:t>
      </w:r>
      <w:r w:rsidR="00E93CA6" w:rsidRPr="00AB1BDF">
        <w:t>průběžně</w:t>
      </w:r>
      <w:r w:rsidR="00C63779" w:rsidRPr="00AB1BDF">
        <w:t xml:space="preserve"> k okamžiku zjištění</w:t>
      </w:r>
      <w:r w:rsidR="00E93CA6" w:rsidRPr="00AB1BDF">
        <w:t xml:space="preserve">, nejpozději však </w:t>
      </w:r>
      <w:r w:rsidR="00C63779" w:rsidRPr="00AB1BDF">
        <w:t>k rozvahovému dni</w:t>
      </w:r>
      <w:r w:rsidR="00E93CA6" w:rsidRPr="00AB1BDF">
        <w:t xml:space="preserve"> </w:t>
      </w:r>
      <w:r w:rsidR="0015270E" w:rsidRPr="00AB1BDF">
        <w:t>s vazbou na</w:t>
      </w:r>
      <w:r w:rsidR="00E93CA6" w:rsidRPr="00AB1BDF">
        <w:t xml:space="preserve"> </w:t>
      </w:r>
      <w:r w:rsidR="0015270E" w:rsidRPr="00AB1BDF">
        <w:t xml:space="preserve">inventarizaci </w:t>
      </w:r>
      <w:r w:rsidR="00E93CA6" w:rsidRPr="00AB1BDF">
        <w:t>majetku.</w:t>
      </w:r>
      <w:r w:rsidR="00E93CA6" w:rsidRPr="00AB1BDF">
        <w:rPr>
          <w:szCs w:val="16"/>
        </w:rPr>
        <w:t xml:space="preserve"> </w:t>
      </w:r>
    </w:p>
    <w:p w:rsidR="001F06D5" w:rsidRPr="00AB1BDF" w:rsidRDefault="001F06D5" w:rsidP="006B728D">
      <w:pPr>
        <w:jc w:val="both"/>
      </w:pPr>
    </w:p>
    <w:p w:rsidR="00E93CA6" w:rsidRPr="00AB1BDF" w:rsidRDefault="00E93CA6" w:rsidP="006B728D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</w:pPr>
      <w:r w:rsidRPr="00AB1BDF">
        <w:t>Opravné položky k odpisovanému dlouhodobému majetku se tvoří v</w:t>
      </w:r>
      <w:r w:rsidR="00EA4F64" w:rsidRPr="00AB1BDF">
        <w:t> </w:t>
      </w:r>
      <w:r w:rsidRPr="00AB1BDF">
        <w:t>případech</w:t>
      </w:r>
      <w:r w:rsidR="00EA4F64" w:rsidRPr="00AB1BDF">
        <w:t xml:space="preserve"> zjištění</w:t>
      </w:r>
      <w:r w:rsidRPr="00AB1BDF">
        <w:t xml:space="preserve">, </w:t>
      </w:r>
      <w:r w:rsidR="00EA4F64" w:rsidRPr="00AB1BDF">
        <w:t>že</w:t>
      </w:r>
      <w:r w:rsidRPr="00AB1BDF">
        <w:t xml:space="preserve"> hodnota </w:t>
      </w:r>
      <w:r w:rsidR="00EA4F64" w:rsidRPr="00AB1BDF">
        <w:t xml:space="preserve">tohoto majetku je </w:t>
      </w:r>
      <w:r w:rsidRPr="00AB1BDF">
        <w:t xml:space="preserve">významně nižší, než je jeho ocenění v účetnictví </w:t>
      </w:r>
      <w:r w:rsidR="00EA4F64" w:rsidRPr="00AB1BDF">
        <w:t>včetně</w:t>
      </w:r>
      <w:r w:rsidRPr="00AB1BDF">
        <w:t xml:space="preserve"> </w:t>
      </w:r>
      <w:r w:rsidR="00EA4F64" w:rsidRPr="00AB1BDF">
        <w:t>oprávek</w:t>
      </w:r>
      <w:r w:rsidRPr="00AB1BDF">
        <w:t xml:space="preserve">, a toto </w:t>
      </w:r>
      <w:r w:rsidR="00EA4F64" w:rsidRPr="00AB1BDF">
        <w:t xml:space="preserve">významné </w:t>
      </w:r>
      <w:r w:rsidRPr="00AB1BDF">
        <w:t xml:space="preserve">snížení hodnoty </w:t>
      </w:r>
      <w:r w:rsidR="003B7A65" w:rsidRPr="00AB1BDF">
        <w:t xml:space="preserve">majetku </w:t>
      </w:r>
      <w:r w:rsidRPr="00AB1BDF">
        <w:t>není trvalého charakteru.</w:t>
      </w:r>
    </w:p>
    <w:p w:rsidR="00E93CA6" w:rsidRPr="00AB1BDF" w:rsidRDefault="00E93CA6">
      <w:pPr>
        <w:jc w:val="both"/>
      </w:pPr>
    </w:p>
    <w:p w:rsidR="00E93CA6" w:rsidRPr="00AB1BDF" w:rsidRDefault="00E93CA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t xml:space="preserve">Opravné položky k neodpisovanému dlouhodobému majetku </w:t>
      </w:r>
      <w:r w:rsidR="002E5CFD" w:rsidRPr="00AB1BDF">
        <w:t xml:space="preserve">a k zásobám </w:t>
      </w:r>
      <w:r w:rsidRPr="00AB1BDF">
        <w:t>se tvoří v</w:t>
      </w:r>
      <w:r w:rsidR="00EA4F64" w:rsidRPr="00AB1BDF">
        <w:t> </w:t>
      </w:r>
      <w:r w:rsidRPr="00AB1BDF">
        <w:t>případech</w:t>
      </w:r>
      <w:r w:rsidR="00EA4F64" w:rsidRPr="00AB1BDF">
        <w:t xml:space="preserve"> zjištění, že </w:t>
      </w:r>
      <w:r w:rsidR="003B7A65" w:rsidRPr="00AB1BDF">
        <w:t xml:space="preserve">hodnota </w:t>
      </w:r>
      <w:r w:rsidR="00EA4F64" w:rsidRPr="00AB1BDF">
        <w:t>tohoto majetku je významně nižší</w:t>
      </w:r>
      <w:r w:rsidRPr="00AB1BDF">
        <w:t xml:space="preserve">, než je jeho ocenění v účetnictví, a toto </w:t>
      </w:r>
      <w:r w:rsidR="003B7A65" w:rsidRPr="00AB1BDF">
        <w:t xml:space="preserve">významné </w:t>
      </w:r>
      <w:r w:rsidRPr="00AB1BDF">
        <w:t xml:space="preserve">snížení hodnoty </w:t>
      </w:r>
      <w:r w:rsidR="003B7A65" w:rsidRPr="00AB1BDF">
        <w:t xml:space="preserve">majetku </w:t>
      </w:r>
      <w:r w:rsidRPr="00AB1BDF">
        <w:t>není trvalého charakteru.</w:t>
      </w:r>
    </w:p>
    <w:p w:rsidR="00E93CA6" w:rsidRPr="00AB1BDF" w:rsidRDefault="00E93CA6">
      <w:pPr>
        <w:jc w:val="both"/>
      </w:pPr>
    </w:p>
    <w:p w:rsidR="00E93CA6" w:rsidRPr="00AB1BDF" w:rsidRDefault="003B7A65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t xml:space="preserve">V případě, že účetní jednotka zjistí, že dočasné snížení hodnoty majetku je vyšší nebo </w:t>
      </w:r>
      <w:r w:rsidR="003D1A05" w:rsidRPr="00AB1BDF">
        <w:t>nižší, než</w:t>
      </w:r>
      <w:r w:rsidRPr="00AB1BDF">
        <w:t xml:space="preserve"> již dříve vytvořená opravná položka, upraví výši opravné položky</w:t>
      </w:r>
      <w:r w:rsidR="003D1A05" w:rsidRPr="00AB1BDF">
        <w:t>. Z</w:t>
      </w:r>
      <w:r w:rsidRPr="00AB1BDF">
        <w:t xml:space="preserve">vyšuje-li se tímto </w:t>
      </w:r>
      <w:r w:rsidR="003D1A05" w:rsidRPr="00AB1BDF">
        <w:t xml:space="preserve">výše </w:t>
      </w:r>
      <w:r w:rsidRPr="00AB1BDF">
        <w:t>ocenění majetku v</w:t>
      </w:r>
      <w:r w:rsidR="003D1A05" w:rsidRPr="00AB1BDF">
        <w:t> </w:t>
      </w:r>
      <w:r w:rsidRPr="00AB1BDF">
        <w:t>účetnictví</w:t>
      </w:r>
      <w:r w:rsidR="003D1A05" w:rsidRPr="00AB1BDF">
        <w:t>, včetně případných oprávek</w:t>
      </w:r>
      <w:r w:rsidRPr="00AB1BDF">
        <w:t>, může účetní jednotka provést pouze snížení opravné položky</w:t>
      </w:r>
      <w:r w:rsidR="003D1A05" w:rsidRPr="00AB1BDF">
        <w:t xml:space="preserve"> tohoto majetku;</w:t>
      </w:r>
      <w:r w:rsidRPr="00AB1BDF">
        <w:t xml:space="preserve"> </w:t>
      </w:r>
      <w:r w:rsidR="003D1A05" w:rsidRPr="00AB1BDF">
        <w:t>opravná položka nemůže mít aktivní zůstatek</w:t>
      </w:r>
      <w:r w:rsidR="00E93CA6" w:rsidRPr="00AB1BDF">
        <w:rPr>
          <w:szCs w:val="16"/>
        </w:rPr>
        <w:t>.</w:t>
      </w:r>
    </w:p>
    <w:p w:rsidR="00E041F7" w:rsidRPr="00AB1BDF" w:rsidRDefault="00E041F7" w:rsidP="00E041F7">
      <w:pPr>
        <w:jc w:val="both"/>
        <w:rPr>
          <w:szCs w:val="16"/>
        </w:rPr>
      </w:pPr>
    </w:p>
    <w:p w:rsidR="00E041F7" w:rsidRDefault="00C63779" w:rsidP="00E041F7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>Opodstatněnost tvorby opravných položek a jejich výše účetní jednotka zjišťuje nejpozději k rozvahovému dni</w:t>
      </w:r>
      <w:r w:rsidR="00E041F7" w:rsidRPr="00AB1BDF">
        <w:rPr>
          <w:szCs w:val="16"/>
        </w:rPr>
        <w:t>.</w:t>
      </w:r>
    </w:p>
    <w:p w:rsidR="00F114CC" w:rsidRPr="001530EA" w:rsidRDefault="00F114CC" w:rsidP="00F114CC">
      <w:pPr>
        <w:jc w:val="both"/>
        <w:rPr>
          <w:szCs w:val="16"/>
        </w:rPr>
      </w:pPr>
    </w:p>
    <w:p w:rsidR="001028D7" w:rsidRPr="001530EA" w:rsidRDefault="001028D7" w:rsidP="001028D7">
      <w:pPr>
        <w:tabs>
          <w:tab w:val="num" w:pos="540"/>
        </w:tabs>
        <w:jc w:val="both"/>
        <w:rPr>
          <w:szCs w:val="16"/>
        </w:rPr>
      </w:pPr>
      <w:r w:rsidRPr="001530EA">
        <w:t xml:space="preserve">3.8. </w:t>
      </w:r>
      <w:r w:rsidRPr="001530EA">
        <w:rPr>
          <w:szCs w:val="16"/>
        </w:rPr>
        <w:t>Při účtování o tvorbě, zvýšení, snížení či zrušení opravné položky k dlouhodobému majetku se nepřipouští kompenzace s oprávkami k tomuto majetku. Skutečnosti týkající se opravných položek k dlouhodobému majetku účtované podle bodů 4.1. a 4.2. jsou zohledňovány v odpisovém plánu.</w:t>
      </w:r>
    </w:p>
    <w:p w:rsidR="001028D7" w:rsidRPr="001530EA" w:rsidRDefault="001028D7" w:rsidP="001028D7">
      <w:pPr>
        <w:jc w:val="both"/>
        <w:rPr>
          <w:szCs w:val="16"/>
        </w:rPr>
      </w:pPr>
    </w:p>
    <w:p w:rsidR="001028D7" w:rsidRPr="001530EA" w:rsidRDefault="001028D7" w:rsidP="001028D7">
      <w:pPr>
        <w:tabs>
          <w:tab w:val="num" w:pos="540"/>
        </w:tabs>
        <w:jc w:val="both"/>
      </w:pPr>
      <w:r w:rsidRPr="001530EA">
        <w:t>3.9. V případě dlouhodobého majetku, jehož pořízení je zcela nebo částečně financováno z investičního transferu podle Českého účetního standardu č. 703 – Transfery, účetní jednotka, s výjimkou organizační složky státu, účtuje současně s okamžikem účtování o</w:t>
      </w:r>
    </w:p>
    <w:p w:rsidR="001028D7" w:rsidRPr="001530EA" w:rsidRDefault="001028D7" w:rsidP="001028D7">
      <w:pPr>
        <w:tabs>
          <w:tab w:val="num" w:pos="540"/>
        </w:tabs>
        <w:jc w:val="both"/>
      </w:pPr>
    </w:p>
    <w:p w:rsidR="001028D7" w:rsidRPr="001530EA" w:rsidRDefault="001028D7" w:rsidP="001028D7">
      <w:pPr>
        <w:tabs>
          <w:tab w:val="num" w:pos="540"/>
        </w:tabs>
        <w:jc w:val="both"/>
      </w:pPr>
      <w:r w:rsidRPr="001530EA">
        <w:t>a) tvorbě nebo zvýšení opravné položky k tomuto majetku na stranu MÁ DÁTI účtu 403 – Transfery na pořízení dlouhodobého majetku se souvztažným zápisem na stranu DAL příslušného syntetického účtu účtové skupiny 67 – Výnosy z transferů, a to ve výši tvorby či zvýšení opravné položky násobené transferovým podílem podle Českého účetního standardu č. 708 – Odpisování dlouhodobého majetku a</w:t>
      </w:r>
    </w:p>
    <w:p w:rsidR="001028D7" w:rsidRPr="001530EA" w:rsidRDefault="001028D7" w:rsidP="001028D7">
      <w:pPr>
        <w:tabs>
          <w:tab w:val="num" w:pos="360"/>
          <w:tab w:val="num" w:pos="426"/>
          <w:tab w:val="num" w:pos="540"/>
        </w:tabs>
        <w:jc w:val="both"/>
      </w:pPr>
    </w:p>
    <w:p w:rsidR="001028D7" w:rsidRPr="001530EA" w:rsidRDefault="001028D7" w:rsidP="001028D7">
      <w:pPr>
        <w:tabs>
          <w:tab w:val="num" w:pos="360"/>
          <w:tab w:val="num" w:pos="426"/>
          <w:tab w:val="num" w:pos="540"/>
        </w:tabs>
        <w:jc w:val="both"/>
      </w:pPr>
      <w:r w:rsidRPr="001530EA">
        <w:t>b) snížení nebo zrušení opravné položky k tomuto majetku na stranu MÁ DÁTI příslušného syntetického účtu účtové skupiny 67 – Výnosy z transferů se souvztažným zápisem na stranu DAL účtu 403 – Transfery na pořízení dlouhodobého majetku, a to ve výši snížení či zrušení opravné položky násobené transferovým podílem podle Českého účetního standardu č. 708 – Odpisování dlouhodobého majetku.</w:t>
      </w:r>
    </w:p>
    <w:p w:rsidR="001028D7" w:rsidRPr="001530EA" w:rsidRDefault="001028D7" w:rsidP="001028D7">
      <w:pPr>
        <w:tabs>
          <w:tab w:val="num" w:pos="540"/>
        </w:tabs>
        <w:jc w:val="both"/>
      </w:pPr>
    </w:p>
    <w:p w:rsidR="00E93CA6" w:rsidRDefault="001028D7" w:rsidP="001028D7">
      <w:pPr>
        <w:jc w:val="both"/>
      </w:pPr>
      <w:r w:rsidRPr="001530EA">
        <w:t>3.10. K okamžiku vyřazení majetku, ke kterému je vytvořena opravná položka</w:t>
      </w:r>
      <w:r w:rsidRPr="0010369D">
        <w:t>,</w:t>
      </w:r>
      <w:r w:rsidR="00D970C3" w:rsidRPr="0010369D">
        <w:t xml:space="preserve"> s výjimkou </w:t>
      </w:r>
      <w:r w:rsidR="0064408E" w:rsidRPr="0010369D">
        <w:t xml:space="preserve">úbytku pohledávky z titulu bezúplatného pozbytí </w:t>
      </w:r>
      <w:r w:rsidR="0064408E" w:rsidRPr="00C62520">
        <w:rPr>
          <w:strike/>
        </w:rPr>
        <w:t>podle § 25 odst. 6 zákona</w:t>
      </w:r>
      <w:r w:rsidR="00D970C3" w:rsidRPr="0010369D">
        <w:t>,</w:t>
      </w:r>
      <w:r w:rsidRPr="0010369D">
        <w:t xml:space="preserve"> účtuje</w:t>
      </w:r>
      <w:r w:rsidRPr="001530EA">
        <w:t xml:space="preserve"> účetní jednotka o zrušení této opravné položky podle bodu 4.2.</w:t>
      </w:r>
    </w:p>
    <w:p w:rsidR="002931B6" w:rsidRDefault="002931B6" w:rsidP="001028D7">
      <w:pPr>
        <w:jc w:val="both"/>
      </w:pPr>
    </w:p>
    <w:p w:rsidR="00894467" w:rsidRDefault="00CA0FA3" w:rsidP="001028D7">
      <w:pPr>
        <w:jc w:val="both"/>
        <w:rPr>
          <w:szCs w:val="16"/>
        </w:rPr>
      </w:pPr>
      <w:r w:rsidRPr="00CA0FA3">
        <w:rPr>
          <w:b/>
        </w:rPr>
        <w:t xml:space="preserve">3.11. Postupem podle bodu 4.1. účtuje účetní jednotka také </w:t>
      </w:r>
      <w:r w:rsidR="005E2AFD">
        <w:rPr>
          <w:b/>
        </w:rPr>
        <w:t>k </w:t>
      </w:r>
      <w:r w:rsidR="005E2AFD" w:rsidRPr="00CA0FA3">
        <w:rPr>
          <w:b/>
        </w:rPr>
        <w:t>okamžiku</w:t>
      </w:r>
      <w:r w:rsidR="005E2AFD">
        <w:rPr>
          <w:b/>
        </w:rPr>
        <w:t>,</w:t>
      </w:r>
      <w:r w:rsidR="005E2AFD" w:rsidRPr="00CA0FA3">
        <w:rPr>
          <w:b/>
        </w:rPr>
        <w:t xml:space="preserve"> </w:t>
      </w:r>
      <w:r w:rsidR="005E2AFD">
        <w:rPr>
          <w:b/>
        </w:rPr>
        <w:t>ke kterému</w:t>
      </w:r>
      <w:r w:rsidRPr="00CA0FA3">
        <w:rPr>
          <w:b/>
        </w:rPr>
        <w:t xml:space="preserve"> se stane osobou povinnou z </w:t>
      </w:r>
      <w:r w:rsidR="00A83DD1">
        <w:rPr>
          <w:b/>
        </w:rPr>
        <w:t>věcného</w:t>
      </w:r>
      <w:r w:rsidR="00A83DD1" w:rsidRPr="00CA0FA3">
        <w:rPr>
          <w:b/>
        </w:rPr>
        <w:t xml:space="preserve"> </w:t>
      </w:r>
      <w:r w:rsidRPr="00CA0FA3">
        <w:rPr>
          <w:b/>
        </w:rPr>
        <w:t>břemene</w:t>
      </w:r>
      <w:r w:rsidR="00457AA4">
        <w:rPr>
          <w:b/>
        </w:rPr>
        <w:t xml:space="preserve"> k pozemku a stavbě, s výjimkou užívacího práva</w:t>
      </w:r>
      <w:r w:rsidRPr="00CA0FA3">
        <w:rPr>
          <w:b/>
        </w:rPr>
        <w:t>, kterým byl</w:t>
      </w:r>
      <w:r w:rsidR="008233DB">
        <w:rPr>
          <w:b/>
        </w:rPr>
        <w:t>y</w:t>
      </w:r>
      <w:r w:rsidR="00457AA4">
        <w:rPr>
          <w:b/>
        </w:rPr>
        <w:t xml:space="preserve"> pozemek nebo stavba</w:t>
      </w:r>
      <w:r w:rsidRPr="00CA0FA3">
        <w:rPr>
          <w:b/>
        </w:rPr>
        <w:t xml:space="preserve"> </w:t>
      </w:r>
      <w:r w:rsidR="005E2AFD" w:rsidRPr="00CA0FA3">
        <w:rPr>
          <w:b/>
        </w:rPr>
        <w:t>zatížen</w:t>
      </w:r>
      <w:r w:rsidR="008233DB">
        <w:rPr>
          <w:b/>
        </w:rPr>
        <w:t>y</w:t>
      </w:r>
      <w:r w:rsidRPr="00CA0FA3">
        <w:rPr>
          <w:b/>
        </w:rPr>
        <w:t>, a to v souladu s § 65 odst. 2 vyhlášky a body 3.4. a 3.5.</w:t>
      </w:r>
    </w:p>
    <w:p w:rsidR="00D366F5" w:rsidRDefault="00D366F5" w:rsidP="001028D7">
      <w:pPr>
        <w:jc w:val="both"/>
        <w:rPr>
          <w:szCs w:val="16"/>
        </w:rPr>
      </w:pPr>
    </w:p>
    <w:p w:rsidR="00D366F5" w:rsidRPr="00AB1BDF" w:rsidRDefault="00D366F5" w:rsidP="001028D7">
      <w:pPr>
        <w:jc w:val="both"/>
        <w:rPr>
          <w:szCs w:val="16"/>
        </w:rPr>
      </w:pPr>
    </w:p>
    <w:p w:rsidR="00E93CA6" w:rsidRPr="00AB1BDF" w:rsidRDefault="00E93CA6">
      <w:pPr>
        <w:numPr>
          <w:ilvl w:val="0"/>
          <w:numId w:val="3"/>
        </w:numPr>
        <w:rPr>
          <w:b/>
        </w:rPr>
      </w:pPr>
      <w:r w:rsidRPr="00AB1BDF">
        <w:rPr>
          <w:b/>
        </w:rPr>
        <w:t>Postup účtování</w:t>
      </w:r>
      <w:r w:rsidR="00E041F7" w:rsidRPr="00AB1BDF">
        <w:rPr>
          <w:b/>
        </w:rPr>
        <w:t xml:space="preserve"> o opravných položkách</w:t>
      </w:r>
    </w:p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1530EA" w:rsidRDefault="00E93CA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>O tvorbě a zvýšení opravných položek účtuj</w:t>
      </w:r>
      <w:r w:rsidR="008B58E0" w:rsidRPr="00AB1BDF">
        <w:rPr>
          <w:szCs w:val="16"/>
        </w:rPr>
        <w:t>e</w:t>
      </w:r>
      <w:r w:rsidRPr="00AB1BDF">
        <w:rPr>
          <w:szCs w:val="16"/>
        </w:rPr>
        <w:t xml:space="preserve"> účetní </w:t>
      </w:r>
      <w:r w:rsidR="008B58E0" w:rsidRPr="00AB1BDF">
        <w:rPr>
          <w:szCs w:val="16"/>
        </w:rPr>
        <w:t xml:space="preserve">jednotka </w:t>
      </w:r>
      <w:r w:rsidRPr="00AB1BDF">
        <w:rPr>
          <w:szCs w:val="16"/>
        </w:rPr>
        <w:t xml:space="preserve">na stranu MÁ DÁTI účtu 556 – Tvorba a zúčtování opravných </w:t>
      </w:r>
      <w:r w:rsidRPr="001530EA">
        <w:rPr>
          <w:szCs w:val="16"/>
        </w:rPr>
        <w:t xml:space="preserve">položek se souvztažným zápisem na stranu DAL příslušného syntetického účtu účtové skupiny </w:t>
      </w:r>
      <w:r w:rsidR="007E1091" w:rsidRPr="001530EA">
        <w:rPr>
          <w:szCs w:val="16"/>
        </w:rPr>
        <w:t>14</w:t>
      </w:r>
      <w:r w:rsidRPr="001530EA">
        <w:rPr>
          <w:szCs w:val="16"/>
        </w:rPr>
        <w:t xml:space="preserve"> až 19.</w:t>
      </w:r>
    </w:p>
    <w:p w:rsidR="00E93CA6" w:rsidRPr="001530EA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AB1BDF" w:rsidRDefault="00E93CA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1530EA">
        <w:rPr>
          <w:szCs w:val="16"/>
        </w:rPr>
        <w:t xml:space="preserve">O snížení a zrušení opravných položek </w:t>
      </w:r>
      <w:r w:rsidR="008B58E0" w:rsidRPr="001530EA">
        <w:rPr>
          <w:szCs w:val="16"/>
        </w:rPr>
        <w:t xml:space="preserve">účtuje </w:t>
      </w:r>
      <w:r w:rsidRPr="001530EA">
        <w:rPr>
          <w:szCs w:val="16"/>
        </w:rPr>
        <w:t xml:space="preserve">účetní </w:t>
      </w:r>
      <w:r w:rsidR="008B58E0" w:rsidRPr="001530EA">
        <w:rPr>
          <w:szCs w:val="16"/>
        </w:rPr>
        <w:t xml:space="preserve">jednotka </w:t>
      </w:r>
      <w:r w:rsidRPr="001530EA">
        <w:rPr>
          <w:szCs w:val="16"/>
        </w:rPr>
        <w:t>na stranu MÁ DÁTI příslušného syn</w:t>
      </w:r>
      <w:r w:rsidR="007E1091" w:rsidRPr="001530EA">
        <w:rPr>
          <w:szCs w:val="16"/>
        </w:rPr>
        <w:t>tetického účtu účtové skupiny 14</w:t>
      </w:r>
      <w:r w:rsidRPr="001530EA">
        <w:rPr>
          <w:szCs w:val="16"/>
        </w:rPr>
        <w:t xml:space="preserve"> až</w:t>
      </w:r>
      <w:r w:rsidRPr="00CE618D">
        <w:rPr>
          <w:szCs w:val="16"/>
        </w:rPr>
        <w:t xml:space="preserve"> 19 se souvztažným zápisem na stranu</w:t>
      </w:r>
      <w:r w:rsidRPr="00AB1BDF">
        <w:rPr>
          <w:szCs w:val="16"/>
        </w:rPr>
        <w:t xml:space="preserve"> DAL syntetického účtu 556 – Tvorba a zúčtování opravných položek.</w:t>
      </w:r>
    </w:p>
    <w:p w:rsidR="00E041F7" w:rsidRDefault="00E041F7" w:rsidP="00E041F7">
      <w:pPr>
        <w:jc w:val="both"/>
      </w:pPr>
    </w:p>
    <w:p w:rsidR="000A753C" w:rsidRPr="00AB1BDF" w:rsidRDefault="000A753C" w:rsidP="00E041F7">
      <w:pPr>
        <w:jc w:val="both"/>
      </w:pPr>
    </w:p>
    <w:p w:rsidR="00E041F7" w:rsidRPr="00AB1BDF" w:rsidRDefault="00E041F7" w:rsidP="00E041F7">
      <w:pPr>
        <w:numPr>
          <w:ilvl w:val="0"/>
          <w:numId w:val="3"/>
        </w:numPr>
        <w:rPr>
          <w:b/>
        </w:rPr>
      </w:pPr>
      <w:r w:rsidRPr="00AB1BDF">
        <w:rPr>
          <w:b/>
        </w:rPr>
        <w:t xml:space="preserve">Obecná pravidla k postupům účtování o </w:t>
      </w:r>
      <w:r w:rsidR="00F362CF" w:rsidRPr="00AB1BDF">
        <w:rPr>
          <w:b/>
        </w:rPr>
        <w:t xml:space="preserve">vyřazení </w:t>
      </w:r>
      <w:r w:rsidRPr="00AB1BDF">
        <w:rPr>
          <w:b/>
        </w:rPr>
        <w:t>pohledávek</w:t>
      </w:r>
    </w:p>
    <w:p w:rsidR="00E041F7" w:rsidRPr="00AB1BDF" w:rsidRDefault="00E041F7" w:rsidP="00E041F7">
      <w:pPr>
        <w:rPr>
          <w:b/>
        </w:rPr>
      </w:pPr>
    </w:p>
    <w:p w:rsidR="00D36DF1" w:rsidRPr="0010369D" w:rsidRDefault="00D36DF1" w:rsidP="00C2220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10369D">
        <w:rPr>
          <w:szCs w:val="16"/>
        </w:rPr>
        <w:t xml:space="preserve">Ustanovení bodů 5. a 6. tohoto standardu se nevztahují na inkaso pohledávky, započtení pohledávky, splynutí osoby dlužníka a věřitele a na vyřazení pohledávek </w:t>
      </w:r>
      <w:r w:rsidRPr="00C22206">
        <w:rPr>
          <w:szCs w:val="16"/>
        </w:rPr>
        <w:t>z titulu bezúplatného pozbytí podle § 25 odst. 6 zákona</w:t>
      </w:r>
      <w:r w:rsidRPr="0010369D">
        <w:rPr>
          <w:szCs w:val="16"/>
        </w:rPr>
        <w:t xml:space="preserve">. </w:t>
      </w:r>
    </w:p>
    <w:p w:rsidR="00EE1162" w:rsidRPr="00AB1BDF" w:rsidRDefault="00EE1162" w:rsidP="00C22206">
      <w:pPr>
        <w:jc w:val="both"/>
        <w:rPr>
          <w:szCs w:val="16"/>
        </w:rPr>
      </w:pPr>
    </w:p>
    <w:p w:rsidR="00EE1162" w:rsidRPr="00AB1BDF" w:rsidRDefault="00EE1162" w:rsidP="00C2220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>V případě zániku pohledávky z jiných důvodů</w:t>
      </w:r>
      <w:r w:rsidR="007669C3" w:rsidRPr="00AB1BDF">
        <w:rPr>
          <w:szCs w:val="16"/>
        </w:rPr>
        <w:t xml:space="preserve"> než uvedených v bodě </w:t>
      </w:r>
      <w:r w:rsidR="007669C3" w:rsidRPr="00510FA2">
        <w:rPr>
          <w:szCs w:val="16"/>
        </w:rPr>
        <w:t>5</w:t>
      </w:r>
      <w:r w:rsidR="007669C3" w:rsidRPr="00AB1BDF">
        <w:rPr>
          <w:szCs w:val="16"/>
        </w:rPr>
        <w:t>.1., např. z důvodu prekluze pohledávky</w:t>
      </w:r>
      <w:r w:rsidR="00B9178F" w:rsidRPr="00AB1BDF">
        <w:rPr>
          <w:szCs w:val="16"/>
        </w:rPr>
        <w:t xml:space="preserve"> nebo</w:t>
      </w:r>
      <w:r w:rsidR="007669C3" w:rsidRPr="00AB1BDF">
        <w:rPr>
          <w:szCs w:val="16"/>
        </w:rPr>
        <w:t xml:space="preserve"> postoupení pohledávky</w:t>
      </w:r>
      <w:r w:rsidR="00E42972">
        <w:rPr>
          <w:b/>
          <w:szCs w:val="16"/>
        </w:rPr>
        <w:t xml:space="preserve"> v jiných případech než podle § 25 odst. 6 zákon</w:t>
      </w:r>
      <w:r w:rsidR="00E42972" w:rsidRPr="00A337B7">
        <w:rPr>
          <w:b/>
          <w:szCs w:val="16"/>
        </w:rPr>
        <w:t>a</w:t>
      </w:r>
      <w:r w:rsidR="00E056B8" w:rsidRPr="00A337B7">
        <w:rPr>
          <w:b/>
          <w:szCs w:val="16"/>
        </w:rPr>
        <w:t>,</w:t>
      </w:r>
      <w:r w:rsidR="007669C3" w:rsidRPr="00AB1BDF">
        <w:rPr>
          <w:szCs w:val="16"/>
        </w:rPr>
        <w:t xml:space="preserve"> </w:t>
      </w:r>
      <w:r w:rsidRPr="00AB1BDF">
        <w:rPr>
          <w:szCs w:val="16"/>
        </w:rPr>
        <w:t xml:space="preserve">účtuje účetní jednotka </w:t>
      </w:r>
      <w:r w:rsidR="007669C3" w:rsidRPr="00AB1BDF">
        <w:rPr>
          <w:szCs w:val="16"/>
        </w:rPr>
        <w:t xml:space="preserve">postupem uvedeným v bodě </w:t>
      </w:r>
      <w:r w:rsidR="007669C3" w:rsidRPr="00510FA2">
        <w:rPr>
          <w:szCs w:val="16"/>
        </w:rPr>
        <w:t>6</w:t>
      </w:r>
      <w:r w:rsidR="007669C3" w:rsidRPr="00AB1BDF">
        <w:rPr>
          <w:szCs w:val="16"/>
        </w:rPr>
        <w:t>.1.</w:t>
      </w:r>
    </w:p>
    <w:p w:rsidR="00E041F7" w:rsidRPr="00AB1BDF" w:rsidRDefault="00E041F7" w:rsidP="00E041F7"/>
    <w:p w:rsidR="00A97CC4" w:rsidRDefault="00E041F7" w:rsidP="008C6D59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 xml:space="preserve">Postupem uvedeným v bodě </w:t>
      </w:r>
      <w:r w:rsidRPr="00510FA2">
        <w:rPr>
          <w:szCs w:val="16"/>
        </w:rPr>
        <w:t>6</w:t>
      </w:r>
      <w:r w:rsidRPr="00AB1BDF">
        <w:rPr>
          <w:szCs w:val="16"/>
        </w:rPr>
        <w:t>.1. účtuj</w:t>
      </w:r>
      <w:r w:rsidR="00D27D5F" w:rsidRPr="00AB1BDF">
        <w:rPr>
          <w:szCs w:val="16"/>
        </w:rPr>
        <w:t>e</w:t>
      </w:r>
      <w:r w:rsidRPr="00AB1BDF">
        <w:rPr>
          <w:szCs w:val="16"/>
        </w:rPr>
        <w:t xml:space="preserve"> účetní jednotk</w:t>
      </w:r>
      <w:r w:rsidR="00D27D5F" w:rsidRPr="00AB1BDF">
        <w:rPr>
          <w:szCs w:val="16"/>
        </w:rPr>
        <w:t>a</w:t>
      </w:r>
      <w:r w:rsidRPr="00AB1BDF">
        <w:rPr>
          <w:szCs w:val="16"/>
        </w:rPr>
        <w:t xml:space="preserve"> také o částkách pohledávek</w:t>
      </w:r>
    </w:p>
    <w:p w:rsidR="00B514E3" w:rsidRPr="00AB1BDF" w:rsidRDefault="00B514E3" w:rsidP="00B514E3">
      <w:pPr>
        <w:jc w:val="both"/>
        <w:rPr>
          <w:szCs w:val="16"/>
        </w:rPr>
      </w:pPr>
    </w:p>
    <w:p w:rsidR="00A2657D" w:rsidRPr="00AB1BDF" w:rsidRDefault="00E041F7" w:rsidP="009034CB">
      <w:pPr>
        <w:pStyle w:val="Odstavecseseznamem"/>
        <w:numPr>
          <w:ilvl w:val="0"/>
          <w:numId w:val="16"/>
        </w:numPr>
        <w:ind w:left="284" w:hanging="294"/>
        <w:jc w:val="both"/>
      </w:pPr>
      <w:r w:rsidRPr="00AB1BDF">
        <w:t xml:space="preserve">na základě příkazu správce daně k odpisu dané pohledávky </w:t>
      </w:r>
      <w:r w:rsidR="008B58E0" w:rsidRPr="00AB1BDF">
        <w:t>po</w:t>
      </w:r>
      <w:r w:rsidRPr="00AB1BDF">
        <w:t xml:space="preserve">dle </w:t>
      </w:r>
      <w:r w:rsidR="008B58E0" w:rsidRPr="00AB1BDF">
        <w:t>jiného právního předpisu</w:t>
      </w:r>
      <w:r w:rsidR="00BD0A3C" w:rsidRPr="009034CB">
        <w:rPr>
          <w:vertAlign w:val="superscript"/>
        </w:rPr>
        <w:footnoteReference w:id="1"/>
      </w:r>
      <w:r w:rsidRPr="00AB1BDF">
        <w:t>,</w:t>
      </w:r>
    </w:p>
    <w:p w:rsidR="00A2657D" w:rsidRPr="00AB1BDF" w:rsidRDefault="00E041F7" w:rsidP="009034CB">
      <w:pPr>
        <w:pStyle w:val="Odstavecseseznamem"/>
        <w:numPr>
          <w:ilvl w:val="0"/>
          <w:numId w:val="16"/>
        </w:numPr>
        <w:tabs>
          <w:tab w:val="num" w:pos="540"/>
        </w:tabs>
        <w:ind w:left="284" w:hanging="294"/>
        <w:jc w:val="both"/>
      </w:pPr>
      <w:r w:rsidRPr="00AB1BDF">
        <w:t xml:space="preserve">u nichž účetní jednotka upustila od vymáhání podle </w:t>
      </w:r>
      <w:r w:rsidR="008B58E0" w:rsidRPr="00AB1BDF">
        <w:t xml:space="preserve">jiného </w:t>
      </w:r>
      <w:r w:rsidRPr="00AB1BDF">
        <w:t>právního předpisu</w:t>
      </w:r>
      <w:r w:rsidR="00525139" w:rsidRPr="009034CB">
        <w:rPr>
          <w:vertAlign w:val="superscript"/>
        </w:rPr>
        <w:footnoteReference w:customMarkFollows="1" w:id="2"/>
        <w:t>2</w:t>
      </w:r>
      <w:r w:rsidRPr="00AB1BDF">
        <w:t>,</w:t>
      </w:r>
    </w:p>
    <w:p w:rsidR="00A2657D" w:rsidRPr="00AB1BDF" w:rsidRDefault="00E041F7" w:rsidP="009034CB">
      <w:pPr>
        <w:pStyle w:val="Odstavecseseznamem"/>
        <w:numPr>
          <w:ilvl w:val="0"/>
          <w:numId w:val="16"/>
        </w:numPr>
        <w:tabs>
          <w:tab w:val="num" w:pos="540"/>
        </w:tabs>
        <w:ind w:left="284" w:hanging="294"/>
        <w:jc w:val="both"/>
      </w:pPr>
      <w:r w:rsidRPr="00AB1BDF">
        <w:t xml:space="preserve">u nichž náklady na jejich vymáhání </w:t>
      </w:r>
      <w:r w:rsidR="008B58E0" w:rsidRPr="00AB1BDF">
        <w:t xml:space="preserve">by pravděpodobně </w:t>
      </w:r>
      <w:r w:rsidRPr="00AB1BDF">
        <w:t>přesáh</w:t>
      </w:r>
      <w:r w:rsidR="008B58E0" w:rsidRPr="00AB1BDF">
        <w:t>ly</w:t>
      </w:r>
      <w:r w:rsidRPr="00AB1BDF">
        <w:t xml:space="preserve"> výtěžek z dané pohledávky,</w:t>
      </w:r>
    </w:p>
    <w:p w:rsidR="00A2657D" w:rsidRPr="00AB1BDF" w:rsidRDefault="00E041F7" w:rsidP="009034CB">
      <w:pPr>
        <w:pStyle w:val="Odstavecseseznamem"/>
        <w:numPr>
          <w:ilvl w:val="0"/>
          <w:numId w:val="16"/>
        </w:numPr>
        <w:tabs>
          <w:tab w:val="num" w:pos="540"/>
        </w:tabs>
        <w:ind w:left="284" w:hanging="294"/>
        <w:jc w:val="both"/>
      </w:pPr>
      <w:r w:rsidRPr="00AB1BDF">
        <w:t>u nichž došlo k jejich promlčení,</w:t>
      </w:r>
    </w:p>
    <w:p w:rsidR="00E041F7" w:rsidRPr="00AB1BDF" w:rsidRDefault="00E041F7" w:rsidP="009034CB">
      <w:pPr>
        <w:pStyle w:val="Odstavecseseznamem"/>
        <w:numPr>
          <w:ilvl w:val="0"/>
          <w:numId w:val="16"/>
        </w:numPr>
        <w:tabs>
          <w:tab w:val="num" w:pos="540"/>
        </w:tabs>
        <w:ind w:left="284" w:hanging="294"/>
        <w:jc w:val="both"/>
      </w:pPr>
      <w:r w:rsidRPr="00AB1BDF">
        <w:t>které jsou účetní jednotkou považovány za nedobytné v souladu s jejími vnitřními předpisy.</w:t>
      </w:r>
    </w:p>
    <w:p w:rsidR="000A753C" w:rsidRPr="00AB1BDF" w:rsidRDefault="000A753C" w:rsidP="000A753C">
      <w:pPr>
        <w:jc w:val="both"/>
      </w:pPr>
    </w:p>
    <w:p w:rsidR="000A753C" w:rsidRPr="00AB1BDF" w:rsidRDefault="000A753C" w:rsidP="000A753C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 xml:space="preserve">V případě účtování o </w:t>
      </w:r>
      <w:r w:rsidR="00B33FFC" w:rsidRPr="00AB1BDF">
        <w:rPr>
          <w:szCs w:val="16"/>
        </w:rPr>
        <w:t xml:space="preserve">vyřazení </w:t>
      </w:r>
      <w:r w:rsidRPr="00AB1BDF">
        <w:rPr>
          <w:szCs w:val="16"/>
        </w:rPr>
        <w:t xml:space="preserve">pohledávek podle bodu </w:t>
      </w:r>
      <w:r w:rsidRPr="00510FA2">
        <w:rPr>
          <w:szCs w:val="16"/>
        </w:rPr>
        <w:t>5.</w:t>
      </w:r>
      <w:r w:rsidR="008B58E0" w:rsidRPr="00510FA2">
        <w:rPr>
          <w:szCs w:val="16"/>
        </w:rPr>
        <w:t>2</w:t>
      </w:r>
      <w:r w:rsidRPr="00510FA2">
        <w:rPr>
          <w:szCs w:val="16"/>
        </w:rPr>
        <w:t>. nebo 5</w:t>
      </w:r>
      <w:r w:rsidRPr="00AB1BDF">
        <w:rPr>
          <w:szCs w:val="16"/>
        </w:rPr>
        <w:t>.</w:t>
      </w:r>
      <w:r w:rsidR="008B58E0" w:rsidRPr="00AB1BDF">
        <w:rPr>
          <w:szCs w:val="16"/>
        </w:rPr>
        <w:t>3</w:t>
      </w:r>
      <w:r w:rsidRPr="00AB1BDF">
        <w:rPr>
          <w:szCs w:val="16"/>
        </w:rPr>
        <w:t xml:space="preserve">. </w:t>
      </w:r>
      <w:r w:rsidR="008B58E0" w:rsidRPr="00AB1BDF">
        <w:rPr>
          <w:szCs w:val="16"/>
        </w:rPr>
        <w:t xml:space="preserve">účetní jednotka </w:t>
      </w:r>
      <w:r w:rsidRPr="00AB1BDF">
        <w:rPr>
          <w:szCs w:val="16"/>
        </w:rPr>
        <w:t xml:space="preserve">současně zaúčtuje zrušení, případně snížení opravné položky k této pohledávce podle bodu </w:t>
      </w:r>
      <w:r w:rsidRPr="00510FA2">
        <w:rPr>
          <w:szCs w:val="16"/>
        </w:rPr>
        <w:t>4</w:t>
      </w:r>
      <w:r w:rsidRPr="00AB1BDF">
        <w:rPr>
          <w:szCs w:val="16"/>
        </w:rPr>
        <w:t>.2</w:t>
      </w:r>
      <w:r w:rsidR="008E2EE4" w:rsidRPr="00AB1BDF">
        <w:rPr>
          <w:szCs w:val="16"/>
        </w:rPr>
        <w:t>., a to nejpozději do konce příslušného čtvrtletí kalendářního roku.</w:t>
      </w:r>
    </w:p>
    <w:p w:rsidR="00E041F7" w:rsidRPr="00AB1BDF" w:rsidRDefault="00E041F7" w:rsidP="00E041F7"/>
    <w:p w:rsidR="00223336" w:rsidRDefault="00223336" w:rsidP="00223336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 xml:space="preserve">V případě vyřazení pohledávky z dělené správy z titulu nedobytnosti této pohledávky </w:t>
      </w:r>
      <w:r w:rsidR="00F2193F" w:rsidRPr="00AB1BDF">
        <w:rPr>
          <w:szCs w:val="16"/>
        </w:rPr>
        <w:t xml:space="preserve">účtuje organizační složka státu k tomuto okamžiku o vyřazení příslušného souvisejícího </w:t>
      </w:r>
      <w:r w:rsidR="00F2193F" w:rsidRPr="00B744F7">
        <w:rPr>
          <w:strike/>
          <w:szCs w:val="16"/>
        </w:rPr>
        <w:t>závazku</w:t>
      </w:r>
      <w:r w:rsidR="00B744F7">
        <w:rPr>
          <w:b/>
          <w:szCs w:val="16"/>
        </w:rPr>
        <w:t xml:space="preserve"> dluhu</w:t>
      </w:r>
      <w:r w:rsidR="00F2193F" w:rsidRPr="00AB1BDF">
        <w:rPr>
          <w:szCs w:val="16"/>
        </w:rPr>
        <w:t xml:space="preserve"> z dělené správy na stranu MÁ DÁTI příslušného syntetického závazkového účtu se souvztažným zápisem na stranu DAL účtu 649 – Ostatní výnosy z</w:t>
      </w:r>
      <w:r w:rsidR="00632748" w:rsidRPr="00AB1BDF">
        <w:rPr>
          <w:szCs w:val="16"/>
        </w:rPr>
        <w:t> </w:t>
      </w:r>
      <w:r w:rsidR="00F2193F" w:rsidRPr="00AB1BDF">
        <w:rPr>
          <w:szCs w:val="16"/>
        </w:rPr>
        <w:t>činnosti</w:t>
      </w:r>
      <w:r w:rsidR="00632748" w:rsidRPr="00AB1BDF">
        <w:rPr>
          <w:szCs w:val="16"/>
        </w:rPr>
        <w:t xml:space="preserve">. Současně tato organizační složka státu účtuje o tomto vyřazeném </w:t>
      </w:r>
      <w:r w:rsidR="00632748" w:rsidRPr="00B744F7">
        <w:rPr>
          <w:strike/>
          <w:szCs w:val="16"/>
        </w:rPr>
        <w:t>závazku</w:t>
      </w:r>
      <w:r w:rsidR="00B744F7">
        <w:rPr>
          <w:b/>
          <w:szCs w:val="16"/>
        </w:rPr>
        <w:t xml:space="preserve"> dluhu</w:t>
      </w:r>
      <w:r w:rsidR="00632748" w:rsidRPr="00AB1BDF">
        <w:rPr>
          <w:szCs w:val="16"/>
        </w:rPr>
        <w:t xml:space="preserve"> na stranu MÁ DÁTI  účtu 999 – Vyrovnávací účet k podrozvahovým účtům se souvztažným zápisem na stranu DAL účtu 912 –</w:t>
      </w:r>
      <w:r w:rsidR="001530EA">
        <w:rPr>
          <w:szCs w:val="16"/>
        </w:rPr>
        <w:t xml:space="preserve"> </w:t>
      </w:r>
      <w:r w:rsidR="00D10D87" w:rsidRPr="001530EA">
        <w:rPr>
          <w:szCs w:val="16"/>
        </w:rPr>
        <w:t>Vyřazen</w:t>
      </w:r>
      <w:r w:rsidR="00D10D87" w:rsidRPr="00373C1F">
        <w:rPr>
          <w:szCs w:val="16"/>
        </w:rPr>
        <w:t>é</w:t>
      </w:r>
      <w:r w:rsidR="00D10D87">
        <w:rPr>
          <w:szCs w:val="16"/>
        </w:rPr>
        <w:t xml:space="preserve"> </w:t>
      </w:r>
      <w:r w:rsidR="00632748" w:rsidRPr="00AB1BDF">
        <w:rPr>
          <w:szCs w:val="16"/>
        </w:rPr>
        <w:t>závazky.</w:t>
      </w:r>
    </w:p>
    <w:p w:rsidR="0010369D" w:rsidRDefault="0010369D" w:rsidP="00E041F7">
      <w:pPr>
        <w:jc w:val="both"/>
      </w:pPr>
    </w:p>
    <w:p w:rsidR="0010369D" w:rsidRPr="00AB1BDF" w:rsidRDefault="0010369D" w:rsidP="00E041F7">
      <w:pPr>
        <w:jc w:val="both"/>
      </w:pPr>
    </w:p>
    <w:p w:rsidR="00E041F7" w:rsidRPr="00AB1BDF" w:rsidRDefault="00E041F7" w:rsidP="00E041F7">
      <w:pPr>
        <w:numPr>
          <w:ilvl w:val="0"/>
          <w:numId w:val="3"/>
        </w:numPr>
        <w:rPr>
          <w:b/>
        </w:rPr>
      </w:pPr>
      <w:r w:rsidRPr="00AB1BDF">
        <w:rPr>
          <w:b/>
        </w:rPr>
        <w:t xml:space="preserve">Postup účtování o </w:t>
      </w:r>
      <w:r w:rsidR="00F362CF" w:rsidRPr="00AB1BDF">
        <w:rPr>
          <w:b/>
        </w:rPr>
        <w:t xml:space="preserve">vyřazení </w:t>
      </w:r>
      <w:r w:rsidRPr="00AB1BDF">
        <w:rPr>
          <w:b/>
        </w:rPr>
        <w:t>pohledávek</w:t>
      </w:r>
    </w:p>
    <w:p w:rsidR="00E93CA6" w:rsidRPr="00AB1BDF" w:rsidRDefault="00E93CA6">
      <w:pPr>
        <w:pStyle w:val="Zkladntext"/>
        <w:rPr>
          <w:rFonts w:ascii="Times New Roman" w:hAnsi="Times New Roman"/>
          <w:sz w:val="24"/>
        </w:rPr>
      </w:pPr>
    </w:p>
    <w:p w:rsidR="00E93CA6" w:rsidRPr="00AB1BDF" w:rsidRDefault="000A753C" w:rsidP="000A753C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</w:pPr>
      <w:r w:rsidRPr="00AB1BDF">
        <w:t xml:space="preserve">O </w:t>
      </w:r>
      <w:r w:rsidR="00B33FFC" w:rsidRPr="00AB1BDF">
        <w:t xml:space="preserve">vyřazení </w:t>
      </w:r>
      <w:r w:rsidRPr="00AB1BDF">
        <w:t xml:space="preserve">pohledávek </w:t>
      </w:r>
      <w:r w:rsidR="00E7140B" w:rsidRPr="0010369D">
        <w:t>v případech uvedených v bodech</w:t>
      </w:r>
      <w:r w:rsidRPr="0010369D">
        <w:t xml:space="preserve"> </w:t>
      </w:r>
      <w:r w:rsidRPr="00510FA2">
        <w:t>5.</w:t>
      </w:r>
      <w:r w:rsidR="00DA3291" w:rsidRPr="00510FA2">
        <w:t>2</w:t>
      </w:r>
      <w:r w:rsidRPr="00510FA2">
        <w:t>. a 5.</w:t>
      </w:r>
      <w:r w:rsidR="00DA3291" w:rsidRPr="00510FA2">
        <w:t>3</w:t>
      </w:r>
      <w:r w:rsidRPr="00510FA2">
        <w:t>.</w:t>
      </w:r>
      <w:r w:rsidRPr="00AB1BDF">
        <w:t xml:space="preserve"> účtuj</w:t>
      </w:r>
      <w:r w:rsidR="008B58E0" w:rsidRPr="00AB1BDF">
        <w:t>e</w:t>
      </w:r>
      <w:r w:rsidRPr="00AB1BDF">
        <w:t xml:space="preserve"> účetní </w:t>
      </w:r>
      <w:r w:rsidR="008B58E0" w:rsidRPr="00AB1BDF">
        <w:t xml:space="preserve">jednotka </w:t>
      </w:r>
      <w:r w:rsidRPr="00AB1BDF">
        <w:t>n</w:t>
      </w:r>
      <w:r w:rsidR="00E93CA6" w:rsidRPr="00AB1BDF">
        <w:t>a stranu MÁ</w:t>
      </w:r>
      <w:r w:rsidR="0030286E" w:rsidRPr="00AB1BDF">
        <w:t> </w:t>
      </w:r>
      <w:r w:rsidR="001530EA">
        <w:t>DÁTI účtu 557 – Náklady z</w:t>
      </w:r>
      <w:r w:rsidR="00E93CA6" w:rsidRPr="00AB1BDF">
        <w:t xml:space="preserve"> </w:t>
      </w:r>
      <w:r w:rsidR="00D10D87" w:rsidRPr="001530EA">
        <w:t xml:space="preserve">vyřazených </w:t>
      </w:r>
      <w:r w:rsidR="00E93CA6" w:rsidRPr="001530EA">
        <w:t>pohledávek se souvztažným zápisem na stranu DAL příslušného syntetického účtu pohledávek</w:t>
      </w:r>
      <w:r w:rsidRPr="001530EA">
        <w:t>.</w:t>
      </w:r>
    </w:p>
    <w:p w:rsidR="00190F4E" w:rsidRPr="00AB1BDF" w:rsidRDefault="00190F4E" w:rsidP="00190F4E">
      <w:pPr>
        <w:jc w:val="both"/>
        <w:rPr>
          <w:szCs w:val="16"/>
        </w:rPr>
      </w:pPr>
    </w:p>
    <w:p w:rsidR="00190F4E" w:rsidRPr="00AB1BDF" w:rsidRDefault="00190F4E" w:rsidP="00190F4E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</w:pPr>
      <w:r w:rsidRPr="00AB1BDF">
        <w:t>O pohledávkách</w:t>
      </w:r>
      <w:r w:rsidR="002755C7" w:rsidRPr="002755C7">
        <w:rPr>
          <w:vertAlign w:val="superscript"/>
        </w:rPr>
        <w:t>2</w:t>
      </w:r>
      <w:r w:rsidRPr="00AB1BDF">
        <w:t xml:space="preserve">, o kterých bylo účtováno podle bodu </w:t>
      </w:r>
      <w:r w:rsidRPr="00510FA2">
        <w:t>5</w:t>
      </w:r>
      <w:r w:rsidRPr="00AB1BDF">
        <w:t xml:space="preserve">.3., účtuje účetní jednotka v souladu s § 48 a § 50 písm. a) vyhlášky zároveň na stranu MÁ DÁTI podrozvahového účtu 911 – </w:t>
      </w:r>
      <w:r w:rsidR="008A1371" w:rsidRPr="0010369D">
        <w:t>Vyřazené</w:t>
      </w:r>
      <w:r w:rsidRPr="0010369D">
        <w:t xml:space="preserve"> </w:t>
      </w:r>
      <w:r w:rsidRPr="00AB1BDF">
        <w:t>pohledávky se souvztažným zápisem na stranu DAL podrozvahového účtu 999 – Vyrovnávací účet k podrozvahovým účtům.</w:t>
      </w:r>
    </w:p>
    <w:p w:rsidR="000A753C" w:rsidRPr="00AB1BDF" w:rsidRDefault="000A753C" w:rsidP="00190F4E">
      <w:pPr>
        <w:jc w:val="both"/>
      </w:pPr>
    </w:p>
    <w:p w:rsidR="00E93CA6" w:rsidRPr="00AB1BDF" w:rsidRDefault="00BD0A3C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AB1BDF">
        <w:rPr>
          <w:szCs w:val="16"/>
        </w:rPr>
        <w:t>O p</w:t>
      </w:r>
      <w:r w:rsidR="00E93CA6" w:rsidRPr="00AB1BDF">
        <w:rPr>
          <w:szCs w:val="16"/>
        </w:rPr>
        <w:t>řijat</w:t>
      </w:r>
      <w:r w:rsidRPr="00AB1BDF">
        <w:rPr>
          <w:szCs w:val="16"/>
        </w:rPr>
        <w:t>é</w:t>
      </w:r>
      <w:r w:rsidR="00E93CA6" w:rsidRPr="00AB1BDF">
        <w:rPr>
          <w:szCs w:val="16"/>
        </w:rPr>
        <w:t xml:space="preserve"> úhrad</w:t>
      </w:r>
      <w:r w:rsidRPr="00AB1BDF">
        <w:rPr>
          <w:szCs w:val="16"/>
        </w:rPr>
        <w:t>ě</w:t>
      </w:r>
      <w:r w:rsidR="00E93CA6" w:rsidRPr="00AB1BDF">
        <w:rPr>
          <w:szCs w:val="16"/>
        </w:rPr>
        <w:t xml:space="preserve"> </w:t>
      </w:r>
      <w:r w:rsidR="00B33FFC" w:rsidRPr="00AB1BDF">
        <w:rPr>
          <w:szCs w:val="16"/>
        </w:rPr>
        <w:t xml:space="preserve">vyřazené </w:t>
      </w:r>
      <w:r w:rsidR="00E93CA6" w:rsidRPr="00AB1BDF">
        <w:rPr>
          <w:szCs w:val="16"/>
        </w:rPr>
        <w:t xml:space="preserve">pohledávky </w:t>
      </w:r>
      <w:r w:rsidRPr="00AB1BDF">
        <w:rPr>
          <w:szCs w:val="16"/>
        </w:rPr>
        <w:t>účtuje účetní jednotka</w:t>
      </w:r>
      <w:r w:rsidR="00E93CA6" w:rsidRPr="00AB1BDF">
        <w:rPr>
          <w:szCs w:val="16"/>
        </w:rPr>
        <w:t xml:space="preserve"> na stranu MÁ DÁTI příslušného syntetického účtu účtových skupin 22, 23, 24 nebo 26 se souvztažným zápisem na stranu DAL s</w:t>
      </w:r>
      <w:r w:rsidR="001530EA">
        <w:rPr>
          <w:szCs w:val="16"/>
        </w:rPr>
        <w:t xml:space="preserve">yntetického účtu 643 – </w:t>
      </w:r>
      <w:r w:rsidR="001530EA" w:rsidRPr="001530EA">
        <w:rPr>
          <w:szCs w:val="16"/>
        </w:rPr>
        <w:t>Výnosy z</w:t>
      </w:r>
      <w:r w:rsidR="00E93CA6" w:rsidRPr="001530EA">
        <w:rPr>
          <w:szCs w:val="16"/>
        </w:rPr>
        <w:t xml:space="preserve"> </w:t>
      </w:r>
      <w:r w:rsidR="001E7AC8" w:rsidRPr="001530EA">
        <w:t>vyřazených</w:t>
      </w:r>
      <w:r w:rsidR="001E7AC8" w:rsidRPr="00AB1BDF">
        <w:rPr>
          <w:szCs w:val="16"/>
        </w:rPr>
        <w:t xml:space="preserve"> </w:t>
      </w:r>
      <w:r w:rsidR="00E93CA6" w:rsidRPr="00AB1BDF">
        <w:rPr>
          <w:szCs w:val="16"/>
        </w:rPr>
        <w:t>pohledávek. O částku provedené úhrady se sníží hodnota pohledávky na podrozvahových účtech.</w:t>
      </w:r>
    </w:p>
    <w:p w:rsidR="00E93CA6" w:rsidRDefault="00E93CA6" w:rsidP="00B33FFC">
      <w:pPr>
        <w:jc w:val="both"/>
      </w:pPr>
    </w:p>
    <w:p w:rsidR="0050367B" w:rsidRPr="0010369D" w:rsidRDefault="00EB2E4E" w:rsidP="00EB2E4E">
      <w:pPr>
        <w:jc w:val="both"/>
      </w:pPr>
      <w:r w:rsidRPr="0010369D">
        <w:t xml:space="preserve">6.4. </w:t>
      </w:r>
      <w:r w:rsidR="00534160" w:rsidRPr="0010369D">
        <w:t>V případě pohledávky</w:t>
      </w:r>
      <w:r w:rsidR="0050367B" w:rsidRPr="0010369D">
        <w:t xml:space="preserve">, o </w:t>
      </w:r>
      <w:r w:rsidR="00534160" w:rsidRPr="0010369D">
        <w:t>které</w:t>
      </w:r>
      <w:r w:rsidR="0050367B" w:rsidRPr="0010369D">
        <w:t xml:space="preserve"> bylo účtováno podle bodu 6.2.</w:t>
      </w:r>
      <w:r w:rsidR="00DF2A25" w:rsidRPr="0010369D">
        <w:t>,</w:t>
      </w:r>
      <w:r w:rsidR="00B23FBB" w:rsidRPr="0010369D">
        <w:t xml:space="preserve"> a</w:t>
      </w:r>
      <w:r w:rsidR="00534160" w:rsidRPr="0010369D">
        <w:t xml:space="preserve"> poté došlo k jejímu zániku nebo odpadly důvody pro její vykazování v souladu s § 50 písm. a) vyhlášky</w:t>
      </w:r>
      <w:r w:rsidR="0050367B" w:rsidRPr="0010369D">
        <w:t xml:space="preserve">, </w:t>
      </w:r>
      <w:r w:rsidR="002E1B25" w:rsidRPr="0010369D">
        <w:t>účtuje účetní jednotka na stranu MÁ DÁTI podrozvahového účtu 999</w:t>
      </w:r>
      <w:r w:rsidR="0050367B" w:rsidRPr="0010369D">
        <w:t xml:space="preserve"> – Vyrovnávac</w:t>
      </w:r>
      <w:r w:rsidR="002E1B25" w:rsidRPr="0010369D">
        <w:t>í účet k podrozvahovým účtům se souvztažným zápisem na stranu DAL podrozvahového úč</w:t>
      </w:r>
      <w:r w:rsidR="0050367B" w:rsidRPr="0010369D">
        <w:t xml:space="preserve">tu 911 – </w:t>
      </w:r>
      <w:r w:rsidR="002E1B25" w:rsidRPr="0010369D">
        <w:t>Vyřazené pohledávky</w:t>
      </w:r>
      <w:r w:rsidR="00534160" w:rsidRPr="0010369D">
        <w:t>.</w:t>
      </w:r>
    </w:p>
    <w:p w:rsidR="001637EE" w:rsidRDefault="001637EE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</w:p>
    <w:p w:rsidR="001637EE" w:rsidRDefault="001637EE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</w:p>
    <w:p w:rsidR="001637EE" w:rsidRDefault="001637EE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  <w:r>
        <w:rPr>
          <w:b/>
        </w:rPr>
        <w:t>7. Přechodná ustanovení</w:t>
      </w:r>
    </w:p>
    <w:p w:rsidR="001637EE" w:rsidRDefault="001637EE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</w:p>
    <w:p w:rsidR="007A39C7" w:rsidRDefault="00A83DD1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  <w:r>
        <w:rPr>
          <w:b/>
        </w:rPr>
        <w:t xml:space="preserve">7.1. </w:t>
      </w:r>
      <w:r w:rsidR="007A39C7">
        <w:rPr>
          <w:b/>
        </w:rPr>
        <w:t xml:space="preserve">Postup podle bodu 3.11. účetní jednotka uplatní v případě </w:t>
      </w:r>
      <w:r w:rsidR="00457AA4">
        <w:rPr>
          <w:b/>
        </w:rPr>
        <w:t>věcných</w:t>
      </w:r>
      <w:r w:rsidR="007A39C7">
        <w:rPr>
          <w:b/>
        </w:rPr>
        <w:t xml:space="preserve"> břemen, kterými byl zatížen příslušný majetek 1. ledna 2014 a později</w:t>
      </w:r>
      <w:r w:rsidR="00BF03F0">
        <w:rPr>
          <w:b/>
        </w:rPr>
        <w:t xml:space="preserve">. V případě </w:t>
      </w:r>
      <w:r w:rsidR="00457AA4">
        <w:rPr>
          <w:b/>
        </w:rPr>
        <w:t>věcných</w:t>
      </w:r>
      <w:r w:rsidR="00BF03F0">
        <w:rPr>
          <w:b/>
        </w:rPr>
        <w:t xml:space="preserve"> břemen, kterými byl zatížen příslušný majetek před 1. lednem 2014 účetní jednotka uplatní postup podle bodu 3.11., pokud</w:t>
      </w:r>
      <w:r w:rsidR="006057D9">
        <w:rPr>
          <w:b/>
        </w:rPr>
        <w:t xml:space="preserve"> je tato informace významná pro uživatele účetní závěrky podle § 19 odst. 6 zákona; ustanovení bodu 6.2. </w:t>
      </w:r>
      <w:r w:rsidR="00457AA4">
        <w:rPr>
          <w:b/>
        </w:rPr>
        <w:t>Českého účetního standardu č. </w:t>
      </w:r>
      <w:r w:rsidR="006057D9">
        <w:rPr>
          <w:b/>
        </w:rPr>
        <w:t>701 – Účty a zásady účtování na účtech</w:t>
      </w:r>
      <w:r>
        <w:rPr>
          <w:b/>
        </w:rPr>
        <w:t xml:space="preserve"> tímto nejsou dotčena.</w:t>
      </w:r>
    </w:p>
    <w:p w:rsidR="002E0E9B" w:rsidRDefault="002E0E9B" w:rsidP="001637EE">
      <w:pPr>
        <w:pStyle w:val="Odstavecseseznamem"/>
        <w:tabs>
          <w:tab w:val="left" w:pos="567"/>
        </w:tabs>
        <w:ind w:left="0"/>
        <w:jc w:val="both"/>
        <w:rPr>
          <w:b/>
        </w:rPr>
      </w:pPr>
    </w:p>
    <w:p w:rsidR="002E0E9B" w:rsidRPr="00534160" w:rsidRDefault="002E0E9B" w:rsidP="00A83DD1">
      <w:pPr>
        <w:pStyle w:val="Odstavecseseznamem"/>
        <w:tabs>
          <w:tab w:val="left" w:pos="567"/>
        </w:tabs>
        <w:ind w:left="0"/>
        <w:jc w:val="both"/>
        <w:rPr>
          <w:b/>
        </w:rPr>
      </w:pPr>
    </w:p>
    <w:sectPr w:rsidR="002E0E9B" w:rsidRPr="00534160" w:rsidSect="00874638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48" w:rsidRDefault="00D41148">
      <w:r>
        <w:separator/>
      </w:r>
    </w:p>
  </w:endnote>
  <w:endnote w:type="continuationSeparator" w:id="0">
    <w:p w:rsidR="00D41148" w:rsidRDefault="00D4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B86142" w:rsidP="001769B3">
    <w:pPr>
      <w:pStyle w:val="Zpat"/>
      <w:jc w:val="center"/>
    </w:pPr>
    <w:r>
      <w:rPr>
        <w:rStyle w:val="slostrnky"/>
      </w:rPr>
      <w:fldChar w:fldCharType="begin"/>
    </w:r>
    <w:r w:rsidR="00DB334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5FD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48" w:rsidRDefault="00D41148">
      <w:r>
        <w:separator/>
      </w:r>
    </w:p>
  </w:footnote>
  <w:footnote w:type="continuationSeparator" w:id="0">
    <w:p w:rsidR="00D41148" w:rsidRDefault="00D41148">
      <w:r>
        <w:continuationSeparator/>
      </w:r>
    </w:p>
  </w:footnote>
  <w:footnote w:id="1">
    <w:p w:rsidR="00DB3342" w:rsidRDefault="00DB3342">
      <w:pPr>
        <w:pStyle w:val="Textpoznpodarou"/>
      </w:pPr>
      <w:r>
        <w:rPr>
          <w:rStyle w:val="Znakapoznpodarou"/>
        </w:rPr>
        <w:footnoteRef/>
      </w:r>
      <w:r>
        <w:t xml:space="preserve"> § 158 zákona č. 280/2009 Sb., daňový řád</w:t>
      </w:r>
    </w:p>
  </w:footnote>
  <w:footnote w:id="2">
    <w:p w:rsidR="00DB3342" w:rsidRPr="00BD0A3C" w:rsidRDefault="00DB3342">
      <w:pPr>
        <w:pStyle w:val="Textpoznpodarou"/>
      </w:pPr>
      <w:r>
        <w:rPr>
          <w:rStyle w:val="Znakapoznpodarou"/>
        </w:rPr>
        <w:t>2</w:t>
      </w:r>
      <w:r>
        <w:t xml:space="preserve"> Např. § 35 zákona č. 219/2000 Sb., o majetku České republiky a jejím vystupování v právních vztazích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3" w:rsidRDefault="00096333" w:rsidP="00096333">
    <w:pPr>
      <w:pStyle w:val="Zhlav"/>
      <w:rPr>
        <w:b/>
        <w:i/>
      </w:rPr>
    </w:pPr>
  </w:p>
  <w:p w:rsidR="00B57F64" w:rsidRPr="00B57F64" w:rsidRDefault="00B57F64" w:rsidP="00B57F64">
    <w:pPr>
      <w:pStyle w:val="Zhlav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F626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15D67"/>
    <w:multiLevelType w:val="hybridMultilevel"/>
    <w:tmpl w:val="FA1E1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F05F5"/>
    <w:multiLevelType w:val="hybridMultilevel"/>
    <w:tmpl w:val="8B84D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1D4A"/>
    <w:multiLevelType w:val="hybridMultilevel"/>
    <w:tmpl w:val="BB6EF3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96137"/>
    <w:multiLevelType w:val="multilevel"/>
    <w:tmpl w:val="21122D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35ED1281"/>
    <w:multiLevelType w:val="hybridMultilevel"/>
    <w:tmpl w:val="8B84D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3C9"/>
    <w:multiLevelType w:val="hybridMultilevel"/>
    <w:tmpl w:val="18FE0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A4348"/>
    <w:multiLevelType w:val="multilevel"/>
    <w:tmpl w:val="0BFC4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413028"/>
    <w:multiLevelType w:val="multilevel"/>
    <w:tmpl w:val="DE0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93FC7"/>
    <w:multiLevelType w:val="hybridMultilevel"/>
    <w:tmpl w:val="DE0280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02B49"/>
    <w:multiLevelType w:val="multilevel"/>
    <w:tmpl w:val="18FE0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83667"/>
    <w:multiLevelType w:val="hybridMultilevel"/>
    <w:tmpl w:val="854E8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15436"/>
    <w:multiLevelType w:val="hybridMultilevel"/>
    <w:tmpl w:val="CDFE1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B10BD"/>
    <w:multiLevelType w:val="multilevel"/>
    <w:tmpl w:val="4A2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5216FD6"/>
    <w:multiLevelType w:val="multilevel"/>
    <w:tmpl w:val="7D5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9313E70"/>
    <w:multiLevelType w:val="hybridMultilevel"/>
    <w:tmpl w:val="8BAA7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42FF"/>
    <w:multiLevelType w:val="hybridMultilevel"/>
    <w:tmpl w:val="D83E3F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0512A"/>
    <w:multiLevelType w:val="multilevel"/>
    <w:tmpl w:val="68DE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BC6234A"/>
    <w:multiLevelType w:val="multilevel"/>
    <w:tmpl w:val="6302B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A7C44"/>
    <w:multiLevelType w:val="hybridMultilevel"/>
    <w:tmpl w:val="8B84D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F"/>
    <w:rsid w:val="00001AD0"/>
    <w:rsid w:val="00021ACB"/>
    <w:rsid w:val="0007143C"/>
    <w:rsid w:val="00075F79"/>
    <w:rsid w:val="00090F74"/>
    <w:rsid w:val="00096333"/>
    <w:rsid w:val="000A753C"/>
    <w:rsid w:val="000D3D20"/>
    <w:rsid w:val="000E1E1F"/>
    <w:rsid w:val="000E4AEF"/>
    <w:rsid w:val="000F0770"/>
    <w:rsid w:val="001028D7"/>
    <w:rsid w:val="0010369D"/>
    <w:rsid w:val="00107B8C"/>
    <w:rsid w:val="00107E53"/>
    <w:rsid w:val="0015270E"/>
    <w:rsid w:val="001530EA"/>
    <w:rsid w:val="0016117A"/>
    <w:rsid w:val="001637EE"/>
    <w:rsid w:val="0016648D"/>
    <w:rsid w:val="00174E98"/>
    <w:rsid w:val="001769B3"/>
    <w:rsid w:val="00187E17"/>
    <w:rsid w:val="00190F4E"/>
    <w:rsid w:val="00196512"/>
    <w:rsid w:val="00196F3B"/>
    <w:rsid w:val="001A2649"/>
    <w:rsid w:val="001E2957"/>
    <w:rsid w:val="001E7AC8"/>
    <w:rsid w:val="001F06D5"/>
    <w:rsid w:val="001F1CAC"/>
    <w:rsid w:val="001F2117"/>
    <w:rsid w:val="00203709"/>
    <w:rsid w:val="00204AFD"/>
    <w:rsid w:val="00207616"/>
    <w:rsid w:val="00223336"/>
    <w:rsid w:val="002310CC"/>
    <w:rsid w:val="00251948"/>
    <w:rsid w:val="00251C72"/>
    <w:rsid w:val="00252539"/>
    <w:rsid w:val="00267642"/>
    <w:rsid w:val="002755C7"/>
    <w:rsid w:val="002931B6"/>
    <w:rsid w:val="002965BC"/>
    <w:rsid w:val="002A01C4"/>
    <w:rsid w:val="002B16F0"/>
    <w:rsid w:val="002B426A"/>
    <w:rsid w:val="002E0E9B"/>
    <w:rsid w:val="002E1B25"/>
    <w:rsid w:val="002E3FEB"/>
    <w:rsid w:val="002E5CFD"/>
    <w:rsid w:val="0030286E"/>
    <w:rsid w:val="00304644"/>
    <w:rsid w:val="003147E9"/>
    <w:rsid w:val="00321378"/>
    <w:rsid w:val="00332914"/>
    <w:rsid w:val="00373C1F"/>
    <w:rsid w:val="003870F5"/>
    <w:rsid w:val="003927E1"/>
    <w:rsid w:val="00395FB4"/>
    <w:rsid w:val="003B674D"/>
    <w:rsid w:val="003B7A65"/>
    <w:rsid w:val="003C7375"/>
    <w:rsid w:val="003D1A05"/>
    <w:rsid w:val="004147B9"/>
    <w:rsid w:val="0042146E"/>
    <w:rsid w:val="00437DBB"/>
    <w:rsid w:val="00457AA4"/>
    <w:rsid w:val="00457C8C"/>
    <w:rsid w:val="00462930"/>
    <w:rsid w:val="004676A2"/>
    <w:rsid w:val="00474AB4"/>
    <w:rsid w:val="004915D0"/>
    <w:rsid w:val="004B239D"/>
    <w:rsid w:val="004C238C"/>
    <w:rsid w:val="004C79F5"/>
    <w:rsid w:val="004D0F2A"/>
    <w:rsid w:val="004E35E8"/>
    <w:rsid w:val="004F0479"/>
    <w:rsid w:val="0050367B"/>
    <w:rsid w:val="00506297"/>
    <w:rsid w:val="00510FA2"/>
    <w:rsid w:val="00516070"/>
    <w:rsid w:val="00525139"/>
    <w:rsid w:val="00534160"/>
    <w:rsid w:val="00554321"/>
    <w:rsid w:val="00565491"/>
    <w:rsid w:val="00567494"/>
    <w:rsid w:val="00581D57"/>
    <w:rsid w:val="005A10B6"/>
    <w:rsid w:val="005E2AFD"/>
    <w:rsid w:val="005F0202"/>
    <w:rsid w:val="005F0597"/>
    <w:rsid w:val="005F6F37"/>
    <w:rsid w:val="005F7AB8"/>
    <w:rsid w:val="006057D9"/>
    <w:rsid w:val="006058E9"/>
    <w:rsid w:val="0061546D"/>
    <w:rsid w:val="00626DE8"/>
    <w:rsid w:val="00632748"/>
    <w:rsid w:val="0063281D"/>
    <w:rsid w:val="0064408E"/>
    <w:rsid w:val="00660A0A"/>
    <w:rsid w:val="00670604"/>
    <w:rsid w:val="00695DF7"/>
    <w:rsid w:val="006975D7"/>
    <w:rsid w:val="006A44B1"/>
    <w:rsid w:val="006B2D57"/>
    <w:rsid w:val="006B728D"/>
    <w:rsid w:val="006C44EE"/>
    <w:rsid w:val="006E5D5B"/>
    <w:rsid w:val="006E6D00"/>
    <w:rsid w:val="006F5A8A"/>
    <w:rsid w:val="007037F2"/>
    <w:rsid w:val="00720780"/>
    <w:rsid w:val="007669C3"/>
    <w:rsid w:val="00770FF5"/>
    <w:rsid w:val="00780B4E"/>
    <w:rsid w:val="00780D2C"/>
    <w:rsid w:val="007920B4"/>
    <w:rsid w:val="007A39C7"/>
    <w:rsid w:val="007A3DA8"/>
    <w:rsid w:val="007B47EC"/>
    <w:rsid w:val="007C4BA8"/>
    <w:rsid w:val="007E1091"/>
    <w:rsid w:val="007F4E7B"/>
    <w:rsid w:val="008032DB"/>
    <w:rsid w:val="00807AC2"/>
    <w:rsid w:val="008233DB"/>
    <w:rsid w:val="00874638"/>
    <w:rsid w:val="00894467"/>
    <w:rsid w:val="008A1371"/>
    <w:rsid w:val="008A46A6"/>
    <w:rsid w:val="008B5537"/>
    <w:rsid w:val="008B58E0"/>
    <w:rsid w:val="008C0F4E"/>
    <w:rsid w:val="008C6D59"/>
    <w:rsid w:val="008E04BD"/>
    <w:rsid w:val="008E2EE4"/>
    <w:rsid w:val="009034CB"/>
    <w:rsid w:val="009070BB"/>
    <w:rsid w:val="00934E8A"/>
    <w:rsid w:val="0093666A"/>
    <w:rsid w:val="00975803"/>
    <w:rsid w:val="00977B82"/>
    <w:rsid w:val="00981C03"/>
    <w:rsid w:val="009B487B"/>
    <w:rsid w:val="009D44D8"/>
    <w:rsid w:val="009F02EB"/>
    <w:rsid w:val="009F654E"/>
    <w:rsid w:val="00A229DC"/>
    <w:rsid w:val="00A2657D"/>
    <w:rsid w:val="00A337B7"/>
    <w:rsid w:val="00A41EA6"/>
    <w:rsid w:val="00A44950"/>
    <w:rsid w:val="00A560ED"/>
    <w:rsid w:val="00A67544"/>
    <w:rsid w:val="00A76C1A"/>
    <w:rsid w:val="00A77A1F"/>
    <w:rsid w:val="00A83DD1"/>
    <w:rsid w:val="00A878C9"/>
    <w:rsid w:val="00A94816"/>
    <w:rsid w:val="00A97CC4"/>
    <w:rsid w:val="00AA5BF7"/>
    <w:rsid w:val="00AB1BDF"/>
    <w:rsid w:val="00AC3850"/>
    <w:rsid w:val="00AC5E40"/>
    <w:rsid w:val="00B03994"/>
    <w:rsid w:val="00B0401F"/>
    <w:rsid w:val="00B226B9"/>
    <w:rsid w:val="00B23FBB"/>
    <w:rsid w:val="00B27437"/>
    <w:rsid w:val="00B310A1"/>
    <w:rsid w:val="00B33FFC"/>
    <w:rsid w:val="00B407BD"/>
    <w:rsid w:val="00B514E3"/>
    <w:rsid w:val="00B53580"/>
    <w:rsid w:val="00B57F64"/>
    <w:rsid w:val="00B60A73"/>
    <w:rsid w:val="00B744F7"/>
    <w:rsid w:val="00B76E2B"/>
    <w:rsid w:val="00B80F4A"/>
    <w:rsid w:val="00B8332D"/>
    <w:rsid w:val="00B8336F"/>
    <w:rsid w:val="00B86142"/>
    <w:rsid w:val="00B9178F"/>
    <w:rsid w:val="00B92B51"/>
    <w:rsid w:val="00BA69E3"/>
    <w:rsid w:val="00BC1D71"/>
    <w:rsid w:val="00BC3BE7"/>
    <w:rsid w:val="00BD0A3C"/>
    <w:rsid w:val="00BE25F1"/>
    <w:rsid w:val="00BF03F0"/>
    <w:rsid w:val="00BF15D1"/>
    <w:rsid w:val="00C11746"/>
    <w:rsid w:val="00C17EC7"/>
    <w:rsid w:val="00C20A18"/>
    <w:rsid w:val="00C22206"/>
    <w:rsid w:val="00C227C6"/>
    <w:rsid w:val="00C464D8"/>
    <w:rsid w:val="00C473BA"/>
    <w:rsid w:val="00C47F39"/>
    <w:rsid w:val="00C62520"/>
    <w:rsid w:val="00C63779"/>
    <w:rsid w:val="00C95C78"/>
    <w:rsid w:val="00CA0FA3"/>
    <w:rsid w:val="00CA3AC1"/>
    <w:rsid w:val="00CB790B"/>
    <w:rsid w:val="00CB7D10"/>
    <w:rsid w:val="00CC0CB9"/>
    <w:rsid w:val="00CC6849"/>
    <w:rsid w:val="00CE1165"/>
    <w:rsid w:val="00CE618D"/>
    <w:rsid w:val="00CE7D51"/>
    <w:rsid w:val="00CF0CCC"/>
    <w:rsid w:val="00D02E4F"/>
    <w:rsid w:val="00D10D87"/>
    <w:rsid w:val="00D16AC0"/>
    <w:rsid w:val="00D20C70"/>
    <w:rsid w:val="00D27D5F"/>
    <w:rsid w:val="00D366F5"/>
    <w:rsid w:val="00D36DF1"/>
    <w:rsid w:val="00D37E05"/>
    <w:rsid w:val="00D41148"/>
    <w:rsid w:val="00D51F63"/>
    <w:rsid w:val="00D56149"/>
    <w:rsid w:val="00D67CF7"/>
    <w:rsid w:val="00D71299"/>
    <w:rsid w:val="00D816EF"/>
    <w:rsid w:val="00D87C13"/>
    <w:rsid w:val="00D94D43"/>
    <w:rsid w:val="00D970C3"/>
    <w:rsid w:val="00DA1F5B"/>
    <w:rsid w:val="00DA3291"/>
    <w:rsid w:val="00DB3342"/>
    <w:rsid w:val="00DB593F"/>
    <w:rsid w:val="00DB6513"/>
    <w:rsid w:val="00DC05B8"/>
    <w:rsid w:val="00DD1136"/>
    <w:rsid w:val="00DE6128"/>
    <w:rsid w:val="00DF2A25"/>
    <w:rsid w:val="00E041F7"/>
    <w:rsid w:val="00E056B8"/>
    <w:rsid w:val="00E15ACC"/>
    <w:rsid w:val="00E15D6C"/>
    <w:rsid w:val="00E16E93"/>
    <w:rsid w:val="00E24758"/>
    <w:rsid w:val="00E37D19"/>
    <w:rsid w:val="00E42972"/>
    <w:rsid w:val="00E638BA"/>
    <w:rsid w:val="00E7140B"/>
    <w:rsid w:val="00E85DE2"/>
    <w:rsid w:val="00E90D34"/>
    <w:rsid w:val="00E93CA6"/>
    <w:rsid w:val="00EA4F64"/>
    <w:rsid w:val="00EB2E4E"/>
    <w:rsid w:val="00ED47D9"/>
    <w:rsid w:val="00EE007B"/>
    <w:rsid w:val="00EE1162"/>
    <w:rsid w:val="00EE5265"/>
    <w:rsid w:val="00EF5A71"/>
    <w:rsid w:val="00F114CC"/>
    <w:rsid w:val="00F140F5"/>
    <w:rsid w:val="00F2193F"/>
    <w:rsid w:val="00F2746E"/>
    <w:rsid w:val="00F279A8"/>
    <w:rsid w:val="00F362CF"/>
    <w:rsid w:val="00F373C3"/>
    <w:rsid w:val="00F4367E"/>
    <w:rsid w:val="00F53282"/>
    <w:rsid w:val="00F55045"/>
    <w:rsid w:val="00F558BA"/>
    <w:rsid w:val="00F602CE"/>
    <w:rsid w:val="00F60365"/>
    <w:rsid w:val="00F738D0"/>
    <w:rsid w:val="00F75FDD"/>
    <w:rsid w:val="00F83C61"/>
    <w:rsid w:val="00F857D8"/>
    <w:rsid w:val="00F85ED9"/>
    <w:rsid w:val="00F87414"/>
    <w:rsid w:val="00F90560"/>
    <w:rsid w:val="00F9484B"/>
    <w:rsid w:val="00FA46A2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365"/>
    <w:rPr>
      <w:sz w:val="24"/>
      <w:szCs w:val="24"/>
    </w:rPr>
  </w:style>
  <w:style w:type="paragraph" w:styleId="Nadpis1">
    <w:name w:val="heading 1"/>
    <w:basedOn w:val="Normln"/>
    <w:next w:val="Normln"/>
    <w:qFormat/>
    <w:rsid w:val="00B86142"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rsid w:val="00B8614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rsid w:val="00B86142"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86142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rsid w:val="00B86142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rsid w:val="00B86142"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rsid w:val="00B861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61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6142"/>
  </w:style>
  <w:style w:type="paragraph" w:styleId="Seznamsodrkami">
    <w:name w:val="List Bullet"/>
    <w:basedOn w:val="Normln"/>
    <w:autoRedefine/>
    <w:rsid w:val="00B86142"/>
    <w:pPr>
      <w:numPr>
        <w:numId w:val="1"/>
      </w:numPr>
    </w:pPr>
  </w:style>
  <w:style w:type="paragraph" w:styleId="Textbubliny">
    <w:name w:val="Balloon Text"/>
    <w:basedOn w:val="Normln"/>
    <w:semiHidden/>
    <w:rsid w:val="001527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BD0A3C"/>
    <w:rPr>
      <w:sz w:val="20"/>
      <w:szCs w:val="20"/>
    </w:rPr>
  </w:style>
  <w:style w:type="character" w:styleId="Znakapoznpodarou">
    <w:name w:val="footnote reference"/>
    <w:semiHidden/>
    <w:rsid w:val="00BD0A3C"/>
    <w:rPr>
      <w:vertAlign w:val="superscript"/>
    </w:rPr>
  </w:style>
  <w:style w:type="character" w:styleId="Odkaznakoment">
    <w:name w:val="annotation reference"/>
    <w:semiHidden/>
    <w:rsid w:val="00F362CF"/>
    <w:rPr>
      <w:sz w:val="16"/>
      <w:szCs w:val="16"/>
    </w:rPr>
  </w:style>
  <w:style w:type="paragraph" w:styleId="Textkomente">
    <w:name w:val="annotation text"/>
    <w:basedOn w:val="Normln"/>
    <w:semiHidden/>
    <w:rsid w:val="00F362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362CF"/>
    <w:rPr>
      <w:b/>
      <w:bCs/>
    </w:rPr>
  </w:style>
  <w:style w:type="paragraph" w:styleId="Odstavecseseznamem">
    <w:name w:val="List Paragraph"/>
    <w:basedOn w:val="Normln"/>
    <w:uiPriority w:val="34"/>
    <w:qFormat/>
    <w:rsid w:val="00B514E3"/>
    <w:pPr>
      <w:ind w:left="708"/>
    </w:pPr>
  </w:style>
  <w:style w:type="character" w:customStyle="1" w:styleId="ZhlavChar">
    <w:name w:val="Záhlaví Char"/>
    <w:link w:val="Zhlav"/>
    <w:rsid w:val="00096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365"/>
    <w:rPr>
      <w:sz w:val="24"/>
      <w:szCs w:val="24"/>
    </w:rPr>
  </w:style>
  <w:style w:type="paragraph" w:styleId="Nadpis1">
    <w:name w:val="heading 1"/>
    <w:basedOn w:val="Normln"/>
    <w:next w:val="Normln"/>
    <w:qFormat/>
    <w:rsid w:val="00B86142"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rsid w:val="00B8614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rsid w:val="00B86142"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86142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rsid w:val="00B86142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rsid w:val="00B86142"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rsid w:val="00B861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61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6142"/>
  </w:style>
  <w:style w:type="paragraph" w:styleId="Seznamsodrkami">
    <w:name w:val="List Bullet"/>
    <w:basedOn w:val="Normln"/>
    <w:autoRedefine/>
    <w:rsid w:val="00B86142"/>
    <w:pPr>
      <w:numPr>
        <w:numId w:val="1"/>
      </w:numPr>
    </w:pPr>
  </w:style>
  <w:style w:type="paragraph" w:styleId="Textbubliny">
    <w:name w:val="Balloon Text"/>
    <w:basedOn w:val="Normln"/>
    <w:semiHidden/>
    <w:rsid w:val="001527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BD0A3C"/>
    <w:rPr>
      <w:sz w:val="20"/>
      <w:szCs w:val="20"/>
    </w:rPr>
  </w:style>
  <w:style w:type="character" w:styleId="Znakapoznpodarou">
    <w:name w:val="footnote reference"/>
    <w:semiHidden/>
    <w:rsid w:val="00BD0A3C"/>
    <w:rPr>
      <w:vertAlign w:val="superscript"/>
    </w:rPr>
  </w:style>
  <w:style w:type="character" w:styleId="Odkaznakoment">
    <w:name w:val="annotation reference"/>
    <w:semiHidden/>
    <w:rsid w:val="00F362CF"/>
    <w:rPr>
      <w:sz w:val="16"/>
      <w:szCs w:val="16"/>
    </w:rPr>
  </w:style>
  <w:style w:type="paragraph" w:styleId="Textkomente">
    <w:name w:val="annotation text"/>
    <w:basedOn w:val="Normln"/>
    <w:semiHidden/>
    <w:rsid w:val="00F362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362CF"/>
    <w:rPr>
      <w:b/>
      <w:bCs/>
    </w:rPr>
  </w:style>
  <w:style w:type="paragraph" w:styleId="Odstavecseseznamem">
    <w:name w:val="List Paragraph"/>
    <w:basedOn w:val="Normln"/>
    <w:uiPriority w:val="34"/>
    <w:qFormat/>
    <w:rsid w:val="00B514E3"/>
    <w:pPr>
      <w:ind w:left="708"/>
    </w:pPr>
  </w:style>
  <w:style w:type="character" w:customStyle="1" w:styleId="ZhlavChar">
    <w:name w:val="Záhlaví Char"/>
    <w:link w:val="Zhlav"/>
    <w:rsid w:val="0009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účetní standard</vt:lpstr>
    </vt:vector>
  </TitlesOfParts>
  <Company>MF ČR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účetní standard</dc:title>
  <dc:creator>MF</dc:creator>
  <cp:lastModifiedBy>Nyklová Lucie</cp:lastModifiedBy>
  <cp:revision>2</cp:revision>
  <cp:lastPrinted>2014-02-25T11:49:00Z</cp:lastPrinted>
  <dcterms:created xsi:type="dcterms:W3CDTF">2015-03-12T10:36:00Z</dcterms:created>
  <dcterms:modified xsi:type="dcterms:W3CDTF">2015-03-12T10:36:00Z</dcterms:modified>
</cp:coreProperties>
</file>