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05"/>
      </w:tblGrid>
      <w:tr w:rsidR="00977556" w:rsidTr="00D5490C">
        <w:trPr>
          <w:cantSplit/>
          <w:trHeight w:val="287"/>
        </w:trPr>
        <w:tc>
          <w:tcPr>
            <w:tcW w:w="9212" w:type="dxa"/>
            <w:gridSpan w:val="2"/>
            <w:tcMar>
              <w:left w:w="0" w:type="dxa"/>
              <w:right w:w="0" w:type="dxa"/>
            </w:tcMar>
          </w:tcPr>
          <w:p w:rsidR="00977556" w:rsidRPr="006920D0" w:rsidRDefault="003F3E86" w:rsidP="006920D0">
            <w:pPr>
              <w:spacing w:after="520"/>
              <w:jc w:val="right"/>
              <w:rPr>
                <w:b/>
                <w:bCs/>
                <w:caps/>
                <w:smallCaps/>
                <w:sz w:val="52"/>
                <w:szCs w:val="52"/>
              </w:rPr>
            </w:pPr>
            <w:r>
              <w:rPr>
                <w:sz w:val="52"/>
                <w:szCs w:val="52"/>
              </w:rPr>
              <w:t>6.</w:t>
            </w:r>
          </w:p>
        </w:tc>
      </w:tr>
      <w:tr w:rsidR="0091180B" w:rsidTr="00D5490C">
        <w:tc>
          <w:tcPr>
            <w:tcW w:w="6307" w:type="dxa"/>
            <w:tcMar>
              <w:right w:w="340" w:type="dxa"/>
            </w:tcMar>
          </w:tcPr>
          <w:p w:rsidR="0091180B" w:rsidRPr="0091180B" w:rsidRDefault="00504A5F" w:rsidP="00C8350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Předkládá:</w:t>
            </w:r>
          </w:p>
        </w:tc>
        <w:tc>
          <w:tcPr>
            <w:tcW w:w="2905" w:type="dxa"/>
            <w:tcMar>
              <w:left w:w="0" w:type="dxa"/>
              <w:right w:w="0" w:type="dxa"/>
            </w:tcMar>
          </w:tcPr>
          <w:p w:rsidR="0091180B" w:rsidRPr="0091180B" w:rsidRDefault="003F3E86" w:rsidP="0091180B">
            <w:pPr>
              <w:rPr>
                <w:szCs w:val="24"/>
              </w:rPr>
            </w:pPr>
            <w:r>
              <w:rPr>
                <w:szCs w:val="24"/>
              </w:rPr>
              <w:t xml:space="preserve">Rada Olomouckého kraje </w:t>
            </w:r>
          </w:p>
        </w:tc>
      </w:tr>
      <w:tr w:rsidR="00977556" w:rsidTr="00D5490C">
        <w:tc>
          <w:tcPr>
            <w:tcW w:w="9212" w:type="dxa"/>
            <w:gridSpan w:val="2"/>
            <w:tcMar>
              <w:left w:w="0" w:type="dxa"/>
              <w:right w:w="0" w:type="dxa"/>
            </w:tcMar>
          </w:tcPr>
          <w:p w:rsidR="00977556" w:rsidRPr="0091180B" w:rsidRDefault="00977556" w:rsidP="0091180B">
            <w:pPr>
              <w:rPr>
                <w:szCs w:val="24"/>
              </w:rPr>
            </w:pPr>
          </w:p>
        </w:tc>
      </w:tr>
      <w:tr w:rsidR="0091180B" w:rsidTr="00D5490C">
        <w:tc>
          <w:tcPr>
            <w:tcW w:w="6307" w:type="dxa"/>
            <w:tcMar>
              <w:right w:w="340" w:type="dxa"/>
            </w:tcMar>
          </w:tcPr>
          <w:p w:rsidR="0091180B" w:rsidRPr="0091180B" w:rsidRDefault="0091180B" w:rsidP="00C83500">
            <w:pPr>
              <w:jc w:val="right"/>
              <w:rPr>
                <w:szCs w:val="24"/>
              </w:rPr>
            </w:pPr>
            <w:r w:rsidRPr="0091180B">
              <w:rPr>
                <w:szCs w:val="24"/>
              </w:rPr>
              <w:t>Zpracoval:</w:t>
            </w:r>
          </w:p>
        </w:tc>
        <w:tc>
          <w:tcPr>
            <w:tcW w:w="2905" w:type="dxa"/>
            <w:tcMar>
              <w:left w:w="0" w:type="dxa"/>
              <w:right w:w="0" w:type="dxa"/>
            </w:tcMar>
          </w:tcPr>
          <w:p w:rsidR="0091180B" w:rsidRDefault="003F3E86" w:rsidP="0091180B">
            <w:pPr>
              <w:rPr>
                <w:szCs w:val="24"/>
              </w:rPr>
            </w:pPr>
            <w:r>
              <w:rPr>
                <w:szCs w:val="24"/>
              </w:rPr>
              <w:t>Ing. Jiří Rozbořil</w:t>
            </w:r>
          </w:p>
          <w:p w:rsidR="003F3E86" w:rsidRDefault="003F3E86" w:rsidP="0091180B">
            <w:pPr>
              <w:rPr>
                <w:szCs w:val="24"/>
              </w:rPr>
            </w:pPr>
            <w:r>
              <w:rPr>
                <w:szCs w:val="24"/>
              </w:rPr>
              <w:t>hejtman Olomouckého kraje</w:t>
            </w:r>
          </w:p>
          <w:p w:rsidR="003F3E86" w:rsidRDefault="003F3E86" w:rsidP="0091180B">
            <w:pPr>
              <w:rPr>
                <w:szCs w:val="24"/>
              </w:rPr>
            </w:pPr>
          </w:p>
          <w:p w:rsidR="003F3E86" w:rsidRDefault="003F3E86" w:rsidP="0091180B">
            <w:pPr>
              <w:rPr>
                <w:szCs w:val="24"/>
              </w:rPr>
            </w:pPr>
            <w:r>
              <w:rPr>
                <w:szCs w:val="24"/>
              </w:rPr>
              <w:t xml:space="preserve">Ing. Jiří Juřena </w:t>
            </w:r>
          </w:p>
          <w:p w:rsidR="003F3E86" w:rsidRPr="0091180B" w:rsidRDefault="003F3E86" w:rsidP="0091180B">
            <w:pPr>
              <w:rPr>
                <w:szCs w:val="24"/>
              </w:rPr>
            </w:pPr>
            <w:r>
              <w:rPr>
                <w:szCs w:val="24"/>
              </w:rPr>
              <w:t>vedoucí ekonomického odboru</w:t>
            </w:r>
          </w:p>
        </w:tc>
      </w:tr>
      <w:tr w:rsidR="00977556" w:rsidTr="00D5490C">
        <w:trPr>
          <w:trHeight w:val="286"/>
        </w:trPr>
        <w:tc>
          <w:tcPr>
            <w:tcW w:w="9212" w:type="dxa"/>
            <w:gridSpan w:val="2"/>
            <w:tcMar>
              <w:left w:w="0" w:type="dxa"/>
              <w:right w:w="0" w:type="dxa"/>
            </w:tcMar>
          </w:tcPr>
          <w:p w:rsidR="000F6BB5" w:rsidRDefault="003F3E86" w:rsidP="00EE5E8B">
            <w:pPr>
              <w:pStyle w:val="Radanadpis1schze"/>
            </w:pPr>
            <w:r>
              <w:t>Zasedání Zastupitelstva</w:t>
            </w:r>
            <w:r w:rsidR="000F6BB5">
              <w:t xml:space="preserve"> Olomouckého kraje</w:t>
            </w:r>
          </w:p>
          <w:p w:rsidR="0091180B" w:rsidRPr="000F6BB5" w:rsidRDefault="003F3E86" w:rsidP="00EE5E8B">
            <w:pPr>
              <w:pStyle w:val="Radanadpis2schze"/>
            </w:pPr>
            <w:r>
              <w:t>konané</w:t>
            </w:r>
            <w:r w:rsidR="000F6BB5">
              <w:t xml:space="preserve"> dne </w:t>
            </w:r>
            <w:r>
              <w:t>21. 12. 2012</w:t>
            </w:r>
          </w:p>
        </w:tc>
      </w:tr>
      <w:tr w:rsidR="00977556" w:rsidTr="00D5490C">
        <w:tc>
          <w:tcPr>
            <w:tcW w:w="9212" w:type="dxa"/>
            <w:gridSpan w:val="2"/>
            <w:tcMar>
              <w:left w:w="0" w:type="dxa"/>
              <w:right w:w="0" w:type="dxa"/>
            </w:tcMar>
          </w:tcPr>
          <w:p w:rsidR="000F6BB5" w:rsidRPr="000B4D2B" w:rsidRDefault="000F6BB5" w:rsidP="00EE5E8B">
            <w:pPr>
              <w:pStyle w:val="Podtren"/>
            </w:pPr>
          </w:p>
          <w:p w:rsidR="000F6BB5" w:rsidRDefault="003F3E86" w:rsidP="00EE5E8B">
            <w:pPr>
              <w:pStyle w:val="Radabodschze"/>
            </w:pPr>
            <w:r>
              <w:t>Rozpočet Olomouckého kraje 2013 - návrh rozpočtu</w:t>
            </w:r>
          </w:p>
          <w:p w:rsidR="000F6BB5" w:rsidRDefault="000F6BB5" w:rsidP="00EE5E8B">
            <w:pPr>
              <w:pStyle w:val="Podtren"/>
            </w:pPr>
            <w:r>
              <w:t xml:space="preserve"> </w:t>
            </w:r>
          </w:p>
        </w:tc>
      </w:tr>
      <w:tr w:rsidR="00977556" w:rsidTr="00D5490C">
        <w:tc>
          <w:tcPr>
            <w:tcW w:w="9212" w:type="dxa"/>
            <w:gridSpan w:val="2"/>
            <w:tcMar>
              <w:left w:w="0" w:type="dxa"/>
              <w:right w:w="0" w:type="dxa"/>
            </w:tcMar>
          </w:tcPr>
          <w:p w:rsidR="00977556" w:rsidRDefault="003F3E86" w:rsidP="000F6BB5">
            <w:pPr>
              <w:pStyle w:val="Radanvrhusnesen"/>
            </w:pPr>
            <w:r>
              <w:t>Návrh na usnesení</w:t>
            </w:r>
            <w:r w:rsidR="000F6BB5">
              <w:t>:</w:t>
            </w:r>
          </w:p>
        </w:tc>
      </w:tr>
      <w:tr w:rsidR="00977556" w:rsidRPr="00EE5E8B" w:rsidTr="00871612">
        <w:tc>
          <w:tcPr>
            <w:tcW w:w="9212" w:type="dxa"/>
            <w:gridSpan w:val="2"/>
          </w:tcPr>
          <w:p w:rsidR="00977556" w:rsidRPr="00EE5E8B" w:rsidRDefault="003F3E86" w:rsidP="00EE5E8B">
            <w:pPr>
              <w:pStyle w:val="nzv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</w:t>
            </w:r>
            <w:r w:rsidR="000F6BB5" w:rsidRPr="00EE5E8B">
              <w:rPr>
                <w:sz w:val="24"/>
                <w:szCs w:val="24"/>
              </w:rPr>
              <w:t xml:space="preserve"> Olomouckého kraje po projednání:</w:t>
            </w:r>
          </w:p>
        </w:tc>
      </w:tr>
    </w:tbl>
    <w:p w:rsidR="007B494D" w:rsidRPr="009D6721" w:rsidRDefault="007B494D" w:rsidP="007B494D">
      <w:pPr>
        <w:rPr>
          <w:sz w:val="16"/>
          <w:szCs w:val="16"/>
        </w:rPr>
      </w:pP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7B494D" w:rsidTr="003F3E86">
        <w:tc>
          <w:tcPr>
            <w:tcW w:w="609" w:type="dxa"/>
          </w:tcPr>
          <w:p w:rsidR="007B494D" w:rsidRPr="009D6721" w:rsidRDefault="003F3E86" w:rsidP="00CC38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8505" w:type="dxa"/>
          </w:tcPr>
          <w:p w:rsidR="0031105F" w:rsidRPr="00D8161B" w:rsidRDefault="003F3E86" w:rsidP="003F3E86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bere na vědomí</w:t>
            </w:r>
            <w:r>
              <w:t xml:space="preserve"> </w:t>
            </w:r>
            <w:r>
              <w:t>důvodovou zprávu</w:t>
            </w:r>
          </w:p>
        </w:tc>
      </w:tr>
      <w:tr w:rsidR="003F3E86" w:rsidTr="003F3E86">
        <w:tc>
          <w:tcPr>
            <w:tcW w:w="609" w:type="dxa"/>
          </w:tcPr>
          <w:p w:rsidR="003F3E86" w:rsidRPr="009D6721" w:rsidRDefault="003F3E86" w:rsidP="00CC38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</w:p>
        </w:tc>
        <w:tc>
          <w:tcPr>
            <w:tcW w:w="8505" w:type="dxa"/>
          </w:tcPr>
          <w:p w:rsidR="003F3E86" w:rsidRDefault="003F3E86" w:rsidP="003F3E86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schvaluje</w:t>
            </w:r>
            <w:r>
              <w:t xml:space="preserve"> </w:t>
            </w:r>
            <w:r>
              <w:t>a) rozpočet Olomouckého kraje na rok 2013 v předložené podobě,</w:t>
            </w:r>
          </w:p>
          <w:p w:rsidR="003F3E86" w:rsidRDefault="003F3E86" w:rsidP="003F3E86">
            <w:pPr>
              <w:pStyle w:val="Normal"/>
              <w:spacing w:after="119"/>
              <w:jc w:val="both"/>
            </w:pPr>
            <w:r>
              <w:t xml:space="preserve">b) závazné ukazatele rozpočtu Olomouckého kraje v rozsahu Přílohy č. 1, </w:t>
            </w:r>
          </w:p>
          <w:p w:rsidR="003F3E86" w:rsidRDefault="003F3E86" w:rsidP="003F3E86">
            <w:pPr>
              <w:pStyle w:val="Normal"/>
              <w:spacing w:after="119"/>
              <w:jc w:val="both"/>
            </w:pPr>
            <w:r>
              <w:t xml:space="preserve">c) závazné ukazatele pro příspěvkové organizace dle Přílohy č. 2 a </w:t>
            </w:r>
            <w:r>
              <w:br/>
            </w:r>
            <w:r>
              <w:t xml:space="preserve">Přílohy č. 3b důvodové zprávy, </w:t>
            </w:r>
          </w:p>
          <w:p w:rsidR="003F3E86" w:rsidRDefault="003F3E86" w:rsidP="003F3E86">
            <w:pPr>
              <w:pStyle w:val="Normal"/>
              <w:spacing w:after="119"/>
              <w:jc w:val="both"/>
            </w:pPr>
            <w:r>
              <w:t xml:space="preserve">d) na rok 2013 náhradu ušlého výdělku neuvolněným členům Zastupitelstva Olomouckého kraje, kteří nejsou v pracovním nebo jiném obdobném poměru paušální částkou ve výši 150,- Kč/1hod. (ustanovení § 46 odst. 4 zákona </w:t>
            </w:r>
            <w:r>
              <w:br/>
            </w:r>
            <w:r>
              <w:t>č. 129/2000 Sb., o krajích, ve znění pozdějších předpisů),</w:t>
            </w:r>
          </w:p>
          <w:p w:rsidR="003F3E86" w:rsidRDefault="003F3E86" w:rsidP="003F3E86">
            <w:pPr>
              <w:pStyle w:val="Normal"/>
              <w:spacing w:after="119"/>
              <w:jc w:val="both"/>
            </w:pPr>
            <w:r>
              <w:t xml:space="preserve">e) Pravidla pro čerpání finančních příspěvků určených na Významné projekty </w:t>
            </w:r>
            <w:r>
              <w:lastRenderedPageBreak/>
              <w:t xml:space="preserve">Olomouckého kraje pro rok 2013 dle Přílohy č. 6 důvodové zprávy, </w:t>
            </w:r>
          </w:p>
          <w:p w:rsidR="003F3E86" w:rsidRDefault="003F3E86" w:rsidP="003F3E86">
            <w:pPr>
              <w:pStyle w:val="Normal"/>
              <w:spacing w:after="119"/>
              <w:jc w:val="both"/>
            </w:pPr>
            <w:r>
              <w:t xml:space="preserve">f) poskytnutí přímé podpory vrcholovým sportovním oddílům dle Přílohy č. 5a důvodové zprávy, </w:t>
            </w:r>
          </w:p>
          <w:p w:rsidR="003F3E86" w:rsidRDefault="003F3E86" w:rsidP="003F3E86">
            <w:pPr>
              <w:pStyle w:val="Normal"/>
              <w:spacing w:after="119"/>
              <w:jc w:val="both"/>
            </w:pPr>
            <w:r>
              <w:t xml:space="preserve">g) poskytnutí přímé podpory významných kulturních akcí dle Přílohy č. 5b důvodové zprávy, </w:t>
            </w:r>
          </w:p>
          <w:p w:rsidR="003F3E86" w:rsidRPr="00D8161B" w:rsidRDefault="003F3E86" w:rsidP="003F3E86">
            <w:pPr>
              <w:pStyle w:val="Normal"/>
              <w:spacing w:after="119"/>
              <w:jc w:val="both"/>
            </w:pPr>
            <w:r>
              <w:t xml:space="preserve">h) poskytnutí příspěvku Univerzitě Palackého Olomouc, IČ 61989592, Křížkovského 511/8, Olomouc ve výši 3 500 000,- Kč, Moravské vysoké škole Olomouc, o.p.s., IČ 26867184, Jeremenkova 1142/42, Olomouc ve výši </w:t>
            </w:r>
            <w:r>
              <w:br/>
            </w:r>
            <w:bookmarkStart w:id="0" w:name="_GoBack"/>
            <w:bookmarkEnd w:id="0"/>
            <w:r>
              <w:t>3 500 000,- Kč a Vysoké škole logistiky, o.p.s., IČ 25875167, Palackého 1381/25,</w:t>
            </w:r>
            <w:r>
              <w:t xml:space="preserve"> Přerov ve výši 3 500 000,- Kč.</w:t>
            </w:r>
          </w:p>
        </w:tc>
      </w:tr>
      <w:tr w:rsidR="003F3E86" w:rsidTr="003F3E86">
        <w:tc>
          <w:tcPr>
            <w:tcW w:w="609" w:type="dxa"/>
          </w:tcPr>
          <w:p w:rsidR="003F3E86" w:rsidRPr="009D6721" w:rsidRDefault="003F3E86" w:rsidP="00CC38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3.</w:t>
            </w:r>
          </w:p>
        </w:tc>
        <w:tc>
          <w:tcPr>
            <w:tcW w:w="8505" w:type="dxa"/>
          </w:tcPr>
          <w:p w:rsidR="003F3E86" w:rsidRDefault="003F3E86" w:rsidP="003F3E86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zmocňuje</w:t>
            </w:r>
            <w:r>
              <w:t xml:space="preserve"> </w:t>
            </w:r>
            <w:r>
              <w:t xml:space="preserve">a) Radu Olomouckého kraje k provádění vnitřních rozpočtových změn v rozsahu schváleného rozpočtu Olomouckého kraje na rok </w:t>
            </w:r>
            <w:proofErr w:type="gramStart"/>
            <w:r>
              <w:t>2013 ( u provozních</w:t>
            </w:r>
            <w:proofErr w:type="gramEnd"/>
            <w:r>
              <w:t xml:space="preserve"> výdajů odborů, Fondu sociálních potřeb, Fondu na podporu výstavby a obnovy vodohospodářské infrastruktury na území Olomouckého a Evropských programů v rozsahu ORJ, § a seskupení položek, u příspěvkových organizací v rozsahu ORJ, UZ a položek, u splátek úvěrů v rozsahu ORJ a seskupení položek a u investic v rozsahu ORJ a seskupení položek),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</w:t>
            </w:r>
          </w:p>
          <w:p w:rsidR="003F3E86" w:rsidRDefault="003F3E86" w:rsidP="003F3E86">
            <w:pPr>
              <w:pStyle w:val="Normal"/>
              <w:spacing w:after="119"/>
              <w:jc w:val="both"/>
            </w:pPr>
            <w:r>
              <w:t xml:space="preserve">b) Radu Olomouckého kraje k rozpočtovým změnám v oblasti dotačních titulů Olomouckého kraje, a to mezi jednotlivými dotačními tituly a v případech kdy dochází ke snížení či zvýšení jednotlivých dotačních titulů, </w:t>
            </w:r>
          </w:p>
          <w:p w:rsidR="003F3E86" w:rsidRDefault="003F3E86" w:rsidP="003F3E86">
            <w:pPr>
              <w:pStyle w:val="Normal"/>
              <w:spacing w:after="119"/>
              <w:jc w:val="both"/>
            </w:pPr>
            <w:r>
              <w:t xml:space="preserve">c) Radu Olomouckého kraje k rozpočtovým změnám v oblasti investic v rámci jednotlivých odvětví a k rozpočtovým změnám v oblasti investic mezi jednotlivými oblastmi do výše 5 mil. Kč za jednotlivé případy, </w:t>
            </w:r>
          </w:p>
          <w:p w:rsidR="003F3E86" w:rsidRDefault="003F3E86" w:rsidP="003F3E86">
            <w:pPr>
              <w:pStyle w:val="Normal"/>
              <w:spacing w:after="119"/>
              <w:jc w:val="both"/>
            </w:pPr>
            <w:r>
              <w:t xml:space="preserve">d) Radu Olomouckého kraje ke schvalování investic pro zastupitele Olomouckého kraje a Krajský úřad Olomouckého kraje, </w:t>
            </w:r>
          </w:p>
          <w:p w:rsidR="003F3E86" w:rsidRDefault="003F3E86" w:rsidP="003F3E86">
            <w:pPr>
              <w:pStyle w:val="Normal"/>
              <w:spacing w:after="119"/>
              <w:jc w:val="both"/>
            </w:pPr>
            <w:r>
              <w:t xml:space="preserve">e) Radu Olomouckého kraje k rozdělování dotací na přímé náklady na vzdělávání, které budou poukazovány zálohově školským příspěvkovým organizacím zřizovanými obcemi Olomouckého kraje a příspěvkovým organizacím z oblasti školství zřizovanými Olomouckým krajem, </w:t>
            </w:r>
          </w:p>
          <w:p w:rsidR="003F3E86" w:rsidRDefault="003F3E86" w:rsidP="003F3E86">
            <w:pPr>
              <w:pStyle w:val="Normal"/>
              <w:spacing w:after="119"/>
              <w:jc w:val="both"/>
            </w:pPr>
            <w:r>
              <w:t xml:space="preserve">f) Radu Olomouckého kraje k provádějí rozpočtovým změn, týkajících se dílčího čerpání úvěrového rámce z EIB (poznámka: zmocnění pro Radu Olomouckého kraje bylo schváleno usnesením Zastupitelstva Olomouckého kraje UZ/18/4/2007 ze dne </w:t>
            </w:r>
            <w:proofErr w:type="gramStart"/>
            <w:r>
              <w:t>22.6.2007</w:t>
            </w:r>
            <w:proofErr w:type="gramEnd"/>
            <w:r>
              <w:t>),</w:t>
            </w:r>
          </w:p>
          <w:p w:rsidR="003F3E86" w:rsidRDefault="003F3E86" w:rsidP="003F3E86">
            <w:pPr>
              <w:pStyle w:val="Normal"/>
              <w:spacing w:after="119"/>
              <w:jc w:val="both"/>
            </w:pPr>
            <w:r>
              <w:t xml:space="preserve">g) Radu Olomouckého kraje k zapojení zůstatků k </w:t>
            </w:r>
            <w:proofErr w:type="gramStart"/>
            <w:r>
              <w:t>31.12.2012</w:t>
            </w:r>
            <w:proofErr w:type="gramEnd"/>
            <w:r>
              <w:t xml:space="preserve"> na zvláštních bankovních účtech určených pro financování grantových schémat, globálních grantů, individuálních projektů a dalších projektů spolufinancovaných z evropských fondů, k zapojení zůstatků k 31.12.2012 na zvláštních bankovních účtech určených pro financování půjček z EIB a k zapojení zůstatků k 31.12.2012 z úvěrového rámce KB do rozpočtu Olomouckého kraje roku 2013,</w:t>
            </w:r>
          </w:p>
          <w:p w:rsidR="003F3E86" w:rsidRDefault="003F3E86" w:rsidP="003F3E86">
            <w:pPr>
              <w:pStyle w:val="Normal"/>
              <w:spacing w:after="119"/>
              <w:jc w:val="both"/>
            </w:pPr>
            <w:r>
              <w:lastRenderedPageBreak/>
              <w:t xml:space="preserve">h) Radu Olomouckého kraje k zapojení zůstatku k </w:t>
            </w:r>
            <w:proofErr w:type="gramStart"/>
            <w:r>
              <w:t>31.12.2012</w:t>
            </w:r>
            <w:proofErr w:type="gramEnd"/>
            <w:r>
              <w:t xml:space="preserve"> určeného na financování projektu "Dobrovolnické možnosti podpory seniorů a sociálně vyloučených občanů v EU" do rozpočtu Olomouckého kraje roku 2013, </w:t>
            </w:r>
          </w:p>
          <w:p w:rsidR="003F3E86" w:rsidRDefault="003F3E86" w:rsidP="003F3E86">
            <w:pPr>
              <w:pStyle w:val="Normal"/>
              <w:spacing w:after="119"/>
              <w:jc w:val="both"/>
            </w:pPr>
            <w:r>
              <w:t xml:space="preserve">i) Radu Olomouckého kraje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</w:t>
            </w:r>
          </w:p>
          <w:p w:rsidR="003F3E86" w:rsidRDefault="003F3E86" w:rsidP="003F3E86">
            <w:pPr>
              <w:pStyle w:val="Normal"/>
              <w:spacing w:after="119"/>
              <w:jc w:val="both"/>
            </w:pPr>
            <w:r>
              <w:t xml:space="preserve">j) Radu Olomouckého kraje k provádění rozpočtovým změn, týkajících se dílčích čerpání z úvěrového rámce z Komerční banky, a.s., </w:t>
            </w:r>
          </w:p>
          <w:p w:rsidR="003F3E86" w:rsidRDefault="003F3E86" w:rsidP="003F3E86">
            <w:pPr>
              <w:pStyle w:val="Normal"/>
              <w:spacing w:after="119"/>
              <w:jc w:val="both"/>
            </w:pPr>
            <w:r>
              <w:t xml:space="preserve">k) Radu Olomouckého kraje k provádění rozpočtových změn, kterými jsou zapojovány finanční prostředky přijaté z titulu porušení rozpočtové kázně, </w:t>
            </w:r>
          </w:p>
          <w:p w:rsidR="003F3E86" w:rsidRDefault="003F3E86" w:rsidP="003F3E86">
            <w:pPr>
              <w:pStyle w:val="Normal"/>
              <w:spacing w:after="119"/>
              <w:jc w:val="both"/>
            </w:pPr>
            <w:r>
              <w:t xml:space="preserve">l) Radu Olomouckého kraje k provádění změn závazných ukazatelů rozpočtu Olomouckého kraje, </w:t>
            </w:r>
          </w:p>
          <w:p w:rsidR="003F3E86" w:rsidRPr="00D8161B" w:rsidRDefault="003F3E86" w:rsidP="003F3E86">
            <w:pPr>
              <w:pStyle w:val="Normal"/>
              <w:spacing w:after="119"/>
              <w:jc w:val="both"/>
            </w:pPr>
            <w:r>
              <w:t>m) Radu Olomouckého kraje k provádění změn závazných ukazatelů pro příspěvkové organiz</w:t>
            </w:r>
            <w:r>
              <w:t>ace zřizované Olomouckým krajem</w:t>
            </w:r>
          </w:p>
        </w:tc>
      </w:tr>
      <w:tr w:rsidR="003F3E86" w:rsidTr="003F3E86">
        <w:tc>
          <w:tcPr>
            <w:tcW w:w="609" w:type="dxa"/>
          </w:tcPr>
          <w:p w:rsidR="003F3E86" w:rsidRPr="009D6721" w:rsidRDefault="003F3E86" w:rsidP="00CC38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4.</w:t>
            </w:r>
          </w:p>
        </w:tc>
        <w:tc>
          <w:tcPr>
            <w:tcW w:w="8505" w:type="dxa"/>
          </w:tcPr>
          <w:p w:rsidR="003F3E86" w:rsidRPr="00D8161B" w:rsidRDefault="003F3E86" w:rsidP="003F3E86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ukládá</w:t>
            </w:r>
            <w:r>
              <w:t xml:space="preserve"> </w:t>
            </w:r>
            <w:r>
              <w:t>Radě Olomouckého kraje informovat pravidelně Zastupitelstvo Olomouckého kraje o provedených rozpočtových změnách,</w:t>
            </w:r>
          </w:p>
        </w:tc>
      </w:tr>
      <w:tr w:rsidR="003F3E86" w:rsidTr="003F3E86">
        <w:tc>
          <w:tcPr>
            <w:tcW w:w="9114" w:type="dxa"/>
            <w:gridSpan w:val="2"/>
          </w:tcPr>
          <w:p w:rsidR="003F3E86" w:rsidRDefault="003F3E86" w:rsidP="003F3E86">
            <w:r>
              <w:t>O: Ing. Jiří Rozbořil, hejtman Olomouckého kraje</w:t>
            </w:r>
          </w:p>
          <w:p w:rsidR="003F3E86" w:rsidRPr="003F3E86" w:rsidRDefault="003F3E86" w:rsidP="003F3E86">
            <w:r>
              <w:t>T: průběžně</w:t>
            </w:r>
          </w:p>
        </w:tc>
      </w:tr>
      <w:tr w:rsidR="003F3E86" w:rsidTr="003F3E86">
        <w:tc>
          <w:tcPr>
            <w:tcW w:w="609" w:type="dxa"/>
          </w:tcPr>
          <w:p w:rsidR="003F3E86" w:rsidRPr="009D6721" w:rsidRDefault="003F3E86" w:rsidP="00CC38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</w:t>
            </w:r>
          </w:p>
        </w:tc>
        <w:tc>
          <w:tcPr>
            <w:tcW w:w="8505" w:type="dxa"/>
          </w:tcPr>
          <w:p w:rsidR="003F3E86" w:rsidRPr="00D8161B" w:rsidRDefault="003F3E86" w:rsidP="003F3E86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ukládá</w:t>
            </w:r>
            <w:r>
              <w:t xml:space="preserve"> </w:t>
            </w:r>
            <w:r>
              <w:t>Radě Olomouckého kraje předložit Zastupitelstvu Olomouckého kraje ihned po obdržení rozpisu z Ministerstva školství, mládeže a tělovýchovy ČR rozdělení dotace na přímé náklady na vzdělávání,</w:t>
            </w:r>
          </w:p>
        </w:tc>
      </w:tr>
      <w:tr w:rsidR="003F3E86" w:rsidTr="005F3931">
        <w:tc>
          <w:tcPr>
            <w:tcW w:w="9114" w:type="dxa"/>
            <w:gridSpan w:val="2"/>
          </w:tcPr>
          <w:p w:rsidR="003F3E86" w:rsidRDefault="003F3E86" w:rsidP="003F3E86">
            <w:r>
              <w:t>O: Ing. Zdeněk Švec, náměstek hejtmana</w:t>
            </w:r>
          </w:p>
          <w:p w:rsidR="003F3E86" w:rsidRPr="003F3E86" w:rsidRDefault="003F3E86" w:rsidP="003F3E86">
            <w:r>
              <w:t>T: nestanoven</w:t>
            </w:r>
          </w:p>
        </w:tc>
      </w:tr>
      <w:tr w:rsidR="003F3E86" w:rsidTr="003F3E86">
        <w:tc>
          <w:tcPr>
            <w:tcW w:w="609" w:type="dxa"/>
          </w:tcPr>
          <w:p w:rsidR="003F3E86" w:rsidRPr="009D6721" w:rsidRDefault="003F3E86" w:rsidP="00CC38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</w:t>
            </w:r>
          </w:p>
        </w:tc>
        <w:tc>
          <w:tcPr>
            <w:tcW w:w="8505" w:type="dxa"/>
          </w:tcPr>
          <w:p w:rsidR="003F3E86" w:rsidRPr="00D8161B" w:rsidRDefault="003F3E86" w:rsidP="003F3E86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ukládá</w:t>
            </w:r>
            <w:r>
              <w:t xml:space="preserve"> </w:t>
            </w:r>
            <w:r>
              <w:t>Radě Olomouckého kraje informovat Zastupitelstvo Olomouckého kraje čtvrtletně o vývoji rozpočtu Olomouckého kraje v roce 2013.</w:t>
            </w:r>
          </w:p>
        </w:tc>
      </w:tr>
      <w:tr w:rsidR="003F3E86" w:rsidTr="00876490">
        <w:tc>
          <w:tcPr>
            <w:tcW w:w="9114" w:type="dxa"/>
            <w:gridSpan w:val="2"/>
          </w:tcPr>
          <w:p w:rsidR="003F3E86" w:rsidRDefault="003F3E86" w:rsidP="003F3E86">
            <w:r>
              <w:t>O: Ing. Jiří Rozbořil, hejtman Olomouckého kraje</w:t>
            </w:r>
          </w:p>
          <w:p w:rsidR="003F3E86" w:rsidRPr="003F3E86" w:rsidRDefault="003F3E86" w:rsidP="003F3E86">
            <w:r>
              <w:t>T: čtvrtletně</w:t>
            </w:r>
          </w:p>
        </w:tc>
      </w:tr>
    </w:tbl>
    <w:p w:rsidR="00647B25" w:rsidRPr="00EE5E8B" w:rsidRDefault="00647B25" w:rsidP="00EE5E8B">
      <w:pPr>
        <w:pStyle w:val="nzvy"/>
        <w:rPr>
          <w:sz w:val="2"/>
          <w:szCs w:val="2"/>
        </w:rPr>
      </w:pPr>
    </w:p>
    <w:sectPr w:rsidR="00647B25" w:rsidRPr="00EE5E8B" w:rsidSect="001D4AFF">
      <w:footerReference w:type="even" r:id="rId8"/>
      <w:headerReference w:type="firs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86" w:rsidRDefault="003F3E86">
      <w:r>
        <w:separator/>
      </w:r>
    </w:p>
  </w:endnote>
  <w:endnote w:type="continuationSeparator" w:id="0">
    <w:p w:rsidR="003F3E86" w:rsidRDefault="003F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CE" w:rsidRDefault="004A32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166C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66CE">
      <w:rPr>
        <w:rStyle w:val="slostrnky"/>
        <w:noProof/>
      </w:rPr>
      <w:t>1</w:t>
    </w:r>
    <w:r>
      <w:rPr>
        <w:rStyle w:val="slostrnky"/>
      </w:rPr>
      <w:fldChar w:fldCharType="end"/>
    </w:r>
  </w:p>
  <w:p w:rsidR="00F166CE" w:rsidRDefault="00F166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86" w:rsidRDefault="003F3E86">
      <w:r>
        <w:separator/>
      </w:r>
    </w:p>
  </w:footnote>
  <w:footnote w:type="continuationSeparator" w:id="0">
    <w:p w:rsidR="003F3E86" w:rsidRDefault="003F3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CE" w:rsidRDefault="00F166CE">
    <w:pPr>
      <w:pStyle w:val="Zhlav"/>
    </w:pPr>
  </w:p>
  <w:p w:rsidR="00F166CE" w:rsidRDefault="00F166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86"/>
    <w:rsid w:val="00004CF3"/>
    <w:rsid w:val="00016F56"/>
    <w:rsid w:val="00034C94"/>
    <w:rsid w:val="00064C7D"/>
    <w:rsid w:val="00072763"/>
    <w:rsid w:val="00077704"/>
    <w:rsid w:val="000803E7"/>
    <w:rsid w:val="000828CE"/>
    <w:rsid w:val="00091613"/>
    <w:rsid w:val="00095661"/>
    <w:rsid w:val="000A0F1F"/>
    <w:rsid w:val="000B450A"/>
    <w:rsid w:val="000B4D2B"/>
    <w:rsid w:val="000C156A"/>
    <w:rsid w:val="000C4E8C"/>
    <w:rsid w:val="000F5028"/>
    <w:rsid w:val="000F69F4"/>
    <w:rsid w:val="000F6BB5"/>
    <w:rsid w:val="00114A8E"/>
    <w:rsid w:val="00125AB2"/>
    <w:rsid w:val="001501E2"/>
    <w:rsid w:val="0015260E"/>
    <w:rsid w:val="001538CA"/>
    <w:rsid w:val="0015538B"/>
    <w:rsid w:val="00171651"/>
    <w:rsid w:val="001D4AFF"/>
    <w:rsid w:val="001F1150"/>
    <w:rsid w:val="0020035F"/>
    <w:rsid w:val="0020625E"/>
    <w:rsid w:val="00206FC9"/>
    <w:rsid w:val="00207ACD"/>
    <w:rsid w:val="002229DB"/>
    <w:rsid w:val="002364CD"/>
    <w:rsid w:val="00244685"/>
    <w:rsid w:val="00271B28"/>
    <w:rsid w:val="00282147"/>
    <w:rsid w:val="002A5C1C"/>
    <w:rsid w:val="002F188B"/>
    <w:rsid w:val="002F6D10"/>
    <w:rsid w:val="003019EC"/>
    <w:rsid w:val="00302D65"/>
    <w:rsid w:val="00302EB4"/>
    <w:rsid w:val="003032A2"/>
    <w:rsid w:val="003059DF"/>
    <w:rsid w:val="0031105F"/>
    <w:rsid w:val="00315633"/>
    <w:rsid w:val="00345159"/>
    <w:rsid w:val="00363C22"/>
    <w:rsid w:val="003A12E9"/>
    <w:rsid w:val="003B6D3C"/>
    <w:rsid w:val="003C0F82"/>
    <w:rsid w:val="003D21FE"/>
    <w:rsid w:val="003E0666"/>
    <w:rsid w:val="003F3E86"/>
    <w:rsid w:val="003F7812"/>
    <w:rsid w:val="004160F4"/>
    <w:rsid w:val="00434B17"/>
    <w:rsid w:val="00444E96"/>
    <w:rsid w:val="00462A64"/>
    <w:rsid w:val="0047347C"/>
    <w:rsid w:val="00493D22"/>
    <w:rsid w:val="004A142F"/>
    <w:rsid w:val="004A3242"/>
    <w:rsid w:val="004A5605"/>
    <w:rsid w:val="004B0F11"/>
    <w:rsid w:val="004B7839"/>
    <w:rsid w:val="004D2F79"/>
    <w:rsid w:val="0050342F"/>
    <w:rsid w:val="00503819"/>
    <w:rsid w:val="00504A5F"/>
    <w:rsid w:val="00524BED"/>
    <w:rsid w:val="0056106A"/>
    <w:rsid w:val="00571B35"/>
    <w:rsid w:val="0058497D"/>
    <w:rsid w:val="005A3493"/>
    <w:rsid w:val="005A3826"/>
    <w:rsid w:val="005C1D6A"/>
    <w:rsid w:val="006127FB"/>
    <w:rsid w:val="00647B25"/>
    <w:rsid w:val="006572EB"/>
    <w:rsid w:val="00662A3C"/>
    <w:rsid w:val="006920D0"/>
    <w:rsid w:val="006B1403"/>
    <w:rsid w:val="006B7E16"/>
    <w:rsid w:val="0071454B"/>
    <w:rsid w:val="00714895"/>
    <w:rsid w:val="00715FDE"/>
    <w:rsid w:val="00762A3E"/>
    <w:rsid w:val="00764B9B"/>
    <w:rsid w:val="0078064C"/>
    <w:rsid w:val="007826CF"/>
    <w:rsid w:val="00790F44"/>
    <w:rsid w:val="007B10BF"/>
    <w:rsid w:val="007B3191"/>
    <w:rsid w:val="007B494D"/>
    <w:rsid w:val="007B5582"/>
    <w:rsid w:val="007B6D09"/>
    <w:rsid w:val="007D1F93"/>
    <w:rsid w:val="007E5377"/>
    <w:rsid w:val="00813BEC"/>
    <w:rsid w:val="00820251"/>
    <w:rsid w:val="00824D26"/>
    <w:rsid w:val="00871612"/>
    <w:rsid w:val="008850F1"/>
    <w:rsid w:val="00895365"/>
    <w:rsid w:val="008A1CAB"/>
    <w:rsid w:val="008A4C27"/>
    <w:rsid w:val="008C16E3"/>
    <w:rsid w:val="008D0CFF"/>
    <w:rsid w:val="008D1962"/>
    <w:rsid w:val="0091180B"/>
    <w:rsid w:val="00915AE1"/>
    <w:rsid w:val="0092683B"/>
    <w:rsid w:val="0094319B"/>
    <w:rsid w:val="00945647"/>
    <w:rsid w:val="00951E26"/>
    <w:rsid w:val="00971445"/>
    <w:rsid w:val="00977556"/>
    <w:rsid w:val="00985F37"/>
    <w:rsid w:val="009B7515"/>
    <w:rsid w:val="009B7C96"/>
    <w:rsid w:val="009D5EFF"/>
    <w:rsid w:val="009F574E"/>
    <w:rsid w:val="00A106CE"/>
    <w:rsid w:val="00A1287D"/>
    <w:rsid w:val="00A1658B"/>
    <w:rsid w:val="00A17BA0"/>
    <w:rsid w:val="00AC6935"/>
    <w:rsid w:val="00B1590E"/>
    <w:rsid w:val="00B36CBA"/>
    <w:rsid w:val="00B634C8"/>
    <w:rsid w:val="00BA2706"/>
    <w:rsid w:val="00BA6DB5"/>
    <w:rsid w:val="00BB4C3E"/>
    <w:rsid w:val="00BC3132"/>
    <w:rsid w:val="00BD0A08"/>
    <w:rsid w:val="00C0196E"/>
    <w:rsid w:val="00C02276"/>
    <w:rsid w:val="00C13810"/>
    <w:rsid w:val="00C327CB"/>
    <w:rsid w:val="00C32DD7"/>
    <w:rsid w:val="00C564AB"/>
    <w:rsid w:val="00C826D1"/>
    <w:rsid w:val="00C83500"/>
    <w:rsid w:val="00CA69D3"/>
    <w:rsid w:val="00CB7A3A"/>
    <w:rsid w:val="00CC381E"/>
    <w:rsid w:val="00CC5BC0"/>
    <w:rsid w:val="00CF3502"/>
    <w:rsid w:val="00D079EE"/>
    <w:rsid w:val="00D17F6D"/>
    <w:rsid w:val="00D2100B"/>
    <w:rsid w:val="00D264FC"/>
    <w:rsid w:val="00D5490C"/>
    <w:rsid w:val="00D56D82"/>
    <w:rsid w:val="00D92430"/>
    <w:rsid w:val="00DC2947"/>
    <w:rsid w:val="00DC6BC2"/>
    <w:rsid w:val="00DE49F2"/>
    <w:rsid w:val="00DE5773"/>
    <w:rsid w:val="00DF416D"/>
    <w:rsid w:val="00E0186B"/>
    <w:rsid w:val="00E046DA"/>
    <w:rsid w:val="00E216B6"/>
    <w:rsid w:val="00E67954"/>
    <w:rsid w:val="00E75AC9"/>
    <w:rsid w:val="00E761F0"/>
    <w:rsid w:val="00E80078"/>
    <w:rsid w:val="00E946DD"/>
    <w:rsid w:val="00E96429"/>
    <w:rsid w:val="00EE225F"/>
    <w:rsid w:val="00EE5E8B"/>
    <w:rsid w:val="00F166CE"/>
    <w:rsid w:val="00F47505"/>
    <w:rsid w:val="00F61040"/>
    <w:rsid w:val="00F745D4"/>
    <w:rsid w:val="00F92421"/>
    <w:rsid w:val="00FB36CB"/>
    <w:rsid w:val="00FB4445"/>
    <w:rsid w:val="00FB58BC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590E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EE5E8B"/>
    <w:rPr>
      <w:rFonts w:cs="Arial"/>
      <w:sz w:val="20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3F3E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590E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EE5E8B"/>
    <w:rPr>
      <w:rFonts w:cs="Arial"/>
      <w:sz w:val="20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3F3E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2\IntraDoc\Sablony\Materi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1D06-72D8-46F4-AFD5-C7BD7EAF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Material</Template>
  <TotalTime>26</TotalTime>
  <Pages>3</Pages>
  <Words>805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Zpráva1</vt:lpstr>
    </vt:vector>
  </TitlesOfParts>
  <Company>Inflex, s.r.o.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Zpráva1</dc:title>
  <dc:creator>Vítková Petra</dc:creator>
  <cp:lastModifiedBy>Vítková Petra</cp:lastModifiedBy>
  <cp:revision>1</cp:revision>
  <cp:lastPrinted>2012-12-05T08:38:00Z</cp:lastPrinted>
  <dcterms:created xsi:type="dcterms:W3CDTF">2012-12-05T08:17:00Z</dcterms:created>
  <dcterms:modified xsi:type="dcterms:W3CDTF">2012-12-05T08:43:00Z</dcterms:modified>
</cp:coreProperties>
</file>