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CC" w:rsidRPr="00E14F25" w:rsidRDefault="007E07CC" w:rsidP="007E07CC">
      <w:pPr>
        <w:pStyle w:val="Titulek"/>
        <w:jc w:val="both"/>
        <w:rPr>
          <w:rFonts w:ascii="Arial" w:hAnsi="Arial" w:cs="Arial"/>
          <w:sz w:val="24"/>
          <w:szCs w:val="24"/>
        </w:rPr>
      </w:pPr>
      <w:bookmarkStart w:id="0" w:name="_Toc306700583"/>
      <w:bookmarkStart w:id="1" w:name="_Toc372703419"/>
      <w:bookmarkStart w:id="2" w:name="_GoBack"/>
      <w:bookmarkEnd w:id="2"/>
      <w:r w:rsidRPr="00E14F25">
        <w:rPr>
          <w:rFonts w:ascii="Arial" w:hAnsi="Arial" w:cs="Arial"/>
          <w:sz w:val="24"/>
          <w:szCs w:val="24"/>
        </w:rPr>
        <w:t xml:space="preserve">Příloha č. </w:t>
      </w:r>
      <w:r w:rsidRPr="00E14F25">
        <w:rPr>
          <w:rFonts w:ascii="Arial" w:hAnsi="Arial" w:cs="Arial"/>
          <w:sz w:val="24"/>
          <w:szCs w:val="24"/>
        </w:rPr>
        <w:fldChar w:fldCharType="begin"/>
      </w:r>
      <w:r w:rsidRPr="00E14F25">
        <w:rPr>
          <w:rFonts w:ascii="Arial" w:hAnsi="Arial" w:cs="Arial"/>
          <w:sz w:val="24"/>
          <w:szCs w:val="24"/>
        </w:rPr>
        <w:instrText xml:space="preserve"> SEQ Příloha_č. \* ARABIC </w:instrText>
      </w:r>
      <w:r w:rsidRPr="00E14F25">
        <w:rPr>
          <w:rFonts w:ascii="Arial" w:hAnsi="Arial" w:cs="Arial"/>
          <w:sz w:val="24"/>
          <w:szCs w:val="24"/>
        </w:rPr>
        <w:fldChar w:fldCharType="separate"/>
      </w:r>
      <w:r w:rsidR="001424F2">
        <w:rPr>
          <w:rFonts w:ascii="Arial" w:hAnsi="Arial" w:cs="Arial"/>
          <w:noProof/>
          <w:sz w:val="24"/>
          <w:szCs w:val="24"/>
        </w:rPr>
        <w:t>1</w:t>
      </w:r>
      <w:r w:rsidRPr="00E14F25">
        <w:rPr>
          <w:rFonts w:ascii="Arial" w:hAnsi="Arial" w:cs="Arial"/>
          <w:sz w:val="24"/>
          <w:szCs w:val="24"/>
        </w:rPr>
        <w:fldChar w:fldCharType="end"/>
      </w:r>
      <w:r w:rsidRPr="00E14F25">
        <w:rPr>
          <w:rFonts w:ascii="Arial" w:hAnsi="Arial" w:cs="Arial"/>
          <w:sz w:val="24"/>
          <w:szCs w:val="24"/>
        </w:rPr>
        <w:t>: Sazebník pro stanovování výše prominutí povinnosti odvodu za porušení rozpočtové kázně a výklad jeho jednotlivých položek</w:t>
      </w:r>
      <w:bookmarkEnd w:id="0"/>
      <w:r w:rsidRPr="00E14F25">
        <w:rPr>
          <w:rStyle w:val="Znakapoznpodarou"/>
          <w:rFonts w:ascii="Arial" w:hAnsi="Arial" w:cs="Arial"/>
          <w:sz w:val="24"/>
          <w:szCs w:val="24"/>
        </w:rPr>
        <w:footnoteReference w:id="1"/>
      </w:r>
      <w:bookmarkEnd w:id="1"/>
    </w:p>
    <w:p w:rsidR="007E07CC" w:rsidRDefault="007E07CC" w:rsidP="007E07CC">
      <w:pPr>
        <w:spacing w:line="276" w:lineRule="auto"/>
      </w:pP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709"/>
        <w:gridCol w:w="2835"/>
        <w:gridCol w:w="992"/>
        <w:gridCol w:w="1418"/>
        <w:gridCol w:w="2479"/>
      </w:tblGrid>
      <w:tr w:rsidR="007E07CC" w:rsidRPr="00E14F25" w:rsidTr="006D5093">
        <w:trPr>
          <w:trHeight w:val="850"/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Oblast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Číslo řádku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Porušení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výše možného prominutí odvodu (pevná sazba/procentuální rozmezí)</w:t>
            </w:r>
            <w:r w:rsidRPr="00E14F25">
              <w:rPr>
                <w:rStyle w:val="Znakapoznpodarou"/>
                <w:rFonts w:ascii="Arial" w:hAnsi="Arial" w:cs="Arial"/>
                <w:color w:val="000000"/>
                <w:sz w:val="16"/>
                <w:szCs w:val="16"/>
              </w:rPr>
              <w:footnoteReference w:id="2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Výchozí částka pro výpočet odvodu za PRK, resp. prominutí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Komentář</w:t>
            </w:r>
          </w:p>
        </w:tc>
      </w:tr>
      <w:tr w:rsidR="007E07CC" w:rsidRPr="00E14F25" w:rsidTr="006D5093">
        <w:trPr>
          <w:trHeight w:val="735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Financování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b/>
                <w:bCs/>
                <w:color w:val="000000"/>
                <w:kern w:val="32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Provedení neoprávněného výdaje z projektového účtu/pokladny (vrácení finančních prostředků na stanovený účet do 5 pracovních dnů od převodu, vč. 5. dne).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98-99%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částka týkající se neoprávněného výdaje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Dle těchto bodů se postupuje pouze v případě mylných plateb (definice uvedena v kapitole 4.2.1.1). </w:t>
            </w:r>
          </w:p>
        </w:tc>
      </w:tr>
      <w:tr w:rsidR="007E07CC" w:rsidRPr="00E14F25" w:rsidTr="006D5093">
        <w:trPr>
          <w:trHeight w:val="121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Provedení neoprávněného výdaje z projektového účtu/pokladny (vrácení finančních prostředků na stanovený účet nad 5 pracovních dnů od převodu do zjištění podezření na nesrovnalost ZS = den ukončení veřejnosprávní kontroly).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90%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částka týkající se neoprávněného výdaje</w:t>
            </w:r>
          </w:p>
        </w:tc>
        <w:tc>
          <w:tcPr>
            <w:tcW w:w="24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97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Provedení neoprávněného výdaje z projektového účtu/pokladny (pokud byly prostředky vráceny na stanovený účet v poskytovatelem stanoveném termínu po zjištění podezření na nesrovnalost).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80%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částka týkající se neoprávněného výdaje</w:t>
            </w:r>
          </w:p>
        </w:tc>
        <w:tc>
          <w:tcPr>
            <w:tcW w:w="24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73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Provedení neoprávněného výdaje z projektového účtu/pokladny (nenavrácení na stanovený účet ve stanoveném termínu).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částka týkající se neoprávněného výdaje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Postupuje se jako v případě neprokázaného výdaje</w:t>
            </w:r>
          </w:p>
        </w:tc>
      </w:tr>
      <w:tr w:rsidR="007E07CC" w:rsidRPr="00E14F25" w:rsidTr="006D5093">
        <w:trPr>
          <w:trHeight w:val="49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Výdaje, které nebyly poskytovatelem uznány z důvodu porušení zásad 3E nebo z důvodu nedodržení právních předpisů.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částka týkající se neoprávněného výdaje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Vyjma případu pochybení v postupech pro zadání veřejné zakázky. V těchto případech se postupuje dle bodu 28 a 29 Sazebníku.</w:t>
            </w:r>
          </w:p>
        </w:tc>
      </w:tr>
      <w:tr w:rsidR="007E07CC" w:rsidRPr="00E14F25" w:rsidTr="006D5093">
        <w:trPr>
          <w:trHeight w:val="49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Výdaje, které nebyly poskytovatelem uznány vyjma případů, kdy výdaj není uznán z důvodu porušení lhůty / termínu při realizaci výdaje.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částka týkající se nezpůsobilého výdaje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E07CC" w:rsidRPr="00E14F25" w:rsidTr="006D5093">
        <w:trPr>
          <w:trHeight w:val="121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Převedení finančních prostředků způsobilých výdajů z projektového účtu na účet příjemce/finančního partnera před skutečnou úhradou (do 10 pracovních dnů od převodu, včetně 10. dne).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částka dotčená převodem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Lze použít pouze za předpokladu, že nedošlo k dalšímu pochybění uvedenému v sazebníku. </w:t>
            </w:r>
          </w:p>
        </w:tc>
      </w:tr>
      <w:tr w:rsidR="007E07CC" w:rsidRPr="00E14F25" w:rsidTr="006D5093">
        <w:trPr>
          <w:trHeight w:val="41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Převedení finančních prostředků způsobilých výdajů z projektového účtu na účet příjemce/finančního partnera před skutečnou úhradou (nad 10 pracovních dnů od převodu).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95%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částka dotčená převodem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Lze použít pouze za předpokladu, že nedošlo k dalšímu pochybění uvedenému v sazebníku.</w:t>
            </w:r>
          </w:p>
        </w:tc>
      </w:tr>
      <w:tr w:rsidR="007E07CC" w:rsidRPr="00E14F25" w:rsidTr="006D5093">
        <w:trPr>
          <w:trHeight w:val="97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Del="0010118E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Použití investičních prostředků na úhradu neinvestičních výdajů za předpokladu, že dané neinvestiční výdaje jsou součástí schváleného rozpočtu a naopak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> </w:t>
            </w: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výše výdaje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49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z dotace proplacený výdaj, ale nebylo uskutečněno plnění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> </w:t>
            </w: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výše uskutečněného výdaje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E07CC" w:rsidRPr="00E14F25" w:rsidTr="006D5093">
        <w:trPr>
          <w:trHeight w:val="73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nevedení oddělené evidence ve vztahu k projektu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a) dotace</w:t>
            </w:r>
          </w:p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b) výše výdaje realizovaného mimo oddělenou evidenci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a) Pokud není oddělená evidence vedena vůbec</w:t>
            </w:r>
          </w:p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b) Je-li oddělená evidence vedena, pouze některý výdaj/výdaje takto nejsou zaúčtovány</w:t>
            </w:r>
          </w:p>
        </w:tc>
      </w:tr>
      <w:tr w:rsidR="007E07CC" w:rsidRPr="00E14F25" w:rsidTr="006D5093">
        <w:trPr>
          <w:trHeight w:val="49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nedodržení požadavku na zákaz dvojího financování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výše</w:t>
            </w:r>
            <w:r w:rsidRPr="00E14F25">
              <w:rPr>
                <w:rFonts w:ascii="Arial" w:hAnsi="Arial" w:cs="Arial"/>
                <w:sz w:val="16"/>
                <w:szCs w:val="16"/>
              </w:rPr>
              <w:t> </w:t>
            </w: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výdaje financovaného/uplatněného ze dvou/více veřejných zdrojů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E07CC" w:rsidRPr="00E14F25" w:rsidTr="006D5093">
        <w:trPr>
          <w:trHeight w:val="97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nenahlášení příjmů projektu (mimo kladné úroky z</w:t>
            </w:r>
            <w:r w:rsidRPr="00E14F25">
              <w:rPr>
                <w:rFonts w:ascii="Arial" w:hAnsi="Arial" w:cs="Arial"/>
                <w:sz w:val="16"/>
                <w:szCs w:val="16"/>
              </w:rPr>
              <w:t> </w:t>
            </w: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projektového bankovního účtu)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výše neodečteného nebo nenahlášeného příjmu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E07CC" w:rsidRPr="00E14F25" w:rsidTr="006D5093">
        <w:trPr>
          <w:trHeight w:val="97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>překročení nastavených limitů jednotlivých kapitol rozpočtu při závěrečném vyúčtování projektu nebo při provedení nepodstatné změny projektu.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100 nebo 95 %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částka překračující stanovený limit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>100 % lze prominout pouze v případě překročení limitů kapitol při závěrečném vyúčtování projektu vyjma případu překročení limitu 60% u kapitoly „nákup služeb“ u projektů aplikujících NN. Činí-li podíl kapitoly „nákup služeb“ u projektu aplikujícího NN více než 60%, lze prominout pouze tu část odvodu, jejímž započtením do způsobilých výdajů projektu nedojde k překročení podílů 59% kapitoly „nákup služeb“ na celkových způsobilých výdajích projektu.  Byl-li překročen limit v průběhu realizace projektu při provedení nepodstatné změny rozpočtu, pak je možné prominout 95 %.</w:t>
            </w: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14F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7E07CC" w:rsidRPr="00E14F25" w:rsidTr="006D5093">
        <w:trPr>
          <w:trHeight w:val="97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při závěrečném vyúčtování zjištěno překročení stanoveného limitu při čerpání nepřímých nákladů nebo limitu pro křížové financování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částka překračující stanovený limit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73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nezřízení zvláštního bankovního účtu finančního partnera - pokud byla zjednána náprava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7E07CC">
            <w:pPr>
              <w:keepNext/>
              <w:numPr>
                <w:ilvl w:val="1"/>
                <w:numId w:val="2"/>
              </w:numPr>
              <w:tabs>
                <w:tab w:val="left" w:pos="851"/>
                <w:tab w:val="left" w:pos="1418"/>
                <w:tab w:val="left" w:pos="2703"/>
              </w:tabs>
              <w:suppressAutoHyphens w:val="0"/>
              <w:spacing w:before="60" w:after="60"/>
              <w:ind w:left="576"/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95-99%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dotace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E07CC" w:rsidRPr="00E14F25" w:rsidTr="006D5093">
        <w:trPr>
          <w:trHeight w:val="30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nezřízení zvláštního bankovního účtu příjemce – pokud byla zjednána náprava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95-99%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dotace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300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nevrácení přeplatku z finančního vypořádání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částka přeplatku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E07CC" w:rsidRPr="00E14F25" w:rsidTr="006D5093">
        <w:trPr>
          <w:trHeight w:val="49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nezajištění povinné udržitelnosti projektu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0-99%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dotace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>Bod bude použit v případě porušení povinnosti udržitelnosti stanovené poskytovatelem.</w:t>
            </w:r>
          </w:p>
          <w:p w:rsidR="007E07CC" w:rsidRPr="00E14F25" w:rsidRDefault="007E07CC" w:rsidP="006D5093">
            <w:pPr>
              <w:rPr>
                <w:rFonts w:ascii="Arial" w:hAnsi="Arial" w:cs="Arial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Prominutí je však nepřípustné, pokud se jedná o nedodržení povinnosti zachování stálosti operací dle čl. 57 nařízení rady (ES) č. 1083/2006. </w:t>
            </w:r>
          </w:p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Procento prominutí bude odpovídat procentu ze stanovené doby, po kterou byla udržitelnost naplněna. Příklad: </w:t>
            </w:r>
          </w:p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Udržitelnost stanovena v délce 4 roky. Udržitelnost byla </w:t>
            </w: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příjemcem zajištěna pouze po dobu 1 roku. Prominutí tedy činí 25 %.</w:t>
            </w:r>
          </w:p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Z věcného hlediska, je-li udržitelnost plněna jen částečně, užije se obdobný postup. </w:t>
            </w:r>
          </w:p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Příklad:</w:t>
            </w:r>
          </w:p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Udržitelnost stanovena v délce 5 let. Příjemce se zavázal k realizaci 4 kurzů ročně, ale plní pouze 2 ročně. Prominutí činí 50 %.</w:t>
            </w:r>
          </w:p>
        </w:tc>
      </w:tr>
      <w:tr w:rsidR="007E07CC" w:rsidRPr="00E14F25" w:rsidTr="006D5093">
        <w:trPr>
          <w:trHeight w:val="1817"/>
        </w:trPr>
        <w:tc>
          <w:tcPr>
            <w:tcW w:w="9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Publicita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porušení povinnosti zajistit informační a propagační opatření, nemá-li nedodržení povinnosti vliv na naplnění účelu dotace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95-99%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dotace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Pro stanovení konkrétní výše prominutí je nutno posuzovat závažnost daného pochybení např. nezajištění povinného prvku publicity je závažnější než situace, kdy je prvek publicity zajištěn, ale je uveden chybně. </w:t>
            </w:r>
          </w:p>
        </w:tc>
      </w:tr>
      <w:tr w:rsidR="007E07CC" w:rsidRPr="00E14F25" w:rsidTr="006D5093">
        <w:trPr>
          <w:trHeight w:val="495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Nakládání s majetkem v době realizace a udržitelnosti projektu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pronajmutí či převod majetku pořízeného z dotace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výdaje vážícího se k majetku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E07CC" w:rsidRPr="00E14F25" w:rsidTr="006D5093">
        <w:trPr>
          <w:trHeight w:val="97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předčasné vyřazení dlouhodobého majetku pořízeného z projektu z evidence včetně příp. doby udržitelnosti projektu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výdaj vztahující se k</w:t>
            </w:r>
            <w:r w:rsidRPr="00E14F25">
              <w:rPr>
                <w:rFonts w:ascii="Arial" w:hAnsi="Arial" w:cs="Arial"/>
                <w:sz w:val="16"/>
                <w:szCs w:val="16"/>
              </w:rPr>
              <w:t> </w:t>
            </w: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majetku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</w:tr>
      <w:tr w:rsidR="007E07CC" w:rsidRPr="00E14F25" w:rsidTr="006D5093">
        <w:trPr>
          <w:trHeight w:val="73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nezařazení majetku podpořeného z dotace do účetní nebo majetkové evidence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výdaj vztahující se k</w:t>
            </w:r>
            <w:r w:rsidRPr="00E14F25">
              <w:rPr>
                <w:rFonts w:ascii="Arial" w:hAnsi="Arial" w:cs="Arial"/>
                <w:sz w:val="16"/>
                <w:szCs w:val="16"/>
              </w:rPr>
              <w:t> </w:t>
            </w: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majetku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 V případě, kdy nelze zjednat nápravu nebo dohledat výdaj či obdobně.</w:t>
            </w:r>
          </w:p>
        </w:tc>
      </w:tr>
      <w:tr w:rsidR="007E07CC" w:rsidRPr="00E14F25" w:rsidTr="006D5093">
        <w:trPr>
          <w:trHeight w:val="73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24a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ztráta majetku podpořeného z</w:t>
            </w:r>
            <w:r w:rsidRPr="00E14F25">
              <w:rPr>
                <w:rFonts w:ascii="Arial" w:hAnsi="Arial" w:cs="Arial"/>
                <w:sz w:val="16"/>
                <w:szCs w:val="16"/>
              </w:rPr>
              <w:t> </w:t>
            </w: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dotace v rozporu se smlouvou o</w:t>
            </w:r>
            <w:r w:rsidRPr="00E14F25">
              <w:rPr>
                <w:rFonts w:ascii="Arial" w:hAnsi="Arial" w:cs="Arial"/>
                <w:sz w:val="16"/>
                <w:szCs w:val="16"/>
              </w:rPr>
              <w:t> </w:t>
            </w: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poskytnutí dotace - pokud nebyl obnoven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výdaj </w:t>
            </w:r>
            <w:proofErr w:type="gramStart"/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vztahující</w:t>
            </w:r>
            <w:r w:rsidRPr="00E14F25" w:rsidDel="0072390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 se</w:t>
            </w:r>
            <w:proofErr w:type="gramEnd"/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 k majetku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E07CC" w:rsidRPr="00E14F25" w:rsidTr="006D5093">
        <w:trPr>
          <w:trHeight w:val="73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24b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ztráta majetku podpořeného z</w:t>
            </w:r>
            <w:r w:rsidRPr="00E14F25">
              <w:rPr>
                <w:rFonts w:ascii="Arial" w:hAnsi="Arial" w:cs="Arial"/>
                <w:sz w:val="16"/>
                <w:szCs w:val="16"/>
              </w:rPr>
              <w:t> </w:t>
            </w: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dotace v rozporu se smlouvou o</w:t>
            </w:r>
            <w:r w:rsidRPr="00E14F25">
              <w:rPr>
                <w:rFonts w:ascii="Arial" w:hAnsi="Arial" w:cs="Arial"/>
                <w:sz w:val="16"/>
                <w:szCs w:val="16"/>
              </w:rPr>
              <w:t> </w:t>
            </w: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poskytnutí dotace - pokud byl obnoven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výdaj </w:t>
            </w:r>
            <w:proofErr w:type="gramStart"/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vztahující</w:t>
            </w:r>
            <w:r w:rsidRPr="00E14F25" w:rsidDel="0072390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 se</w:t>
            </w:r>
            <w:proofErr w:type="gramEnd"/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 k majetku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E07CC" w:rsidRPr="00E14F25" w:rsidTr="006D5093">
        <w:trPr>
          <w:trHeight w:val="735"/>
        </w:trPr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použití majetku pořízeného z</w:t>
            </w:r>
            <w:r w:rsidRPr="00E14F25">
              <w:rPr>
                <w:rFonts w:ascii="Arial" w:hAnsi="Arial" w:cs="Arial"/>
                <w:sz w:val="16"/>
                <w:szCs w:val="16"/>
              </w:rPr>
              <w:t> </w:t>
            </w: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dotace na jiné účely, které nesouvisí přímo s realizovaným projektem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výdaj vztahující se k majetku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E07CC" w:rsidRPr="00E14F25" w:rsidTr="006D5093">
        <w:trPr>
          <w:trHeight w:val="870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Uchovávání dokumentace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26a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Nedostatečné uchovávání dokumentace</w:t>
            </w:r>
            <w:r w:rsidRPr="00E14F25">
              <w:rPr>
                <w:rFonts w:ascii="Arial" w:hAnsi="Arial" w:cs="Arial"/>
                <w:sz w:val="16"/>
                <w:szCs w:val="16"/>
              </w:rPr>
              <w:t> </w:t>
            </w: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E14F25">
              <w:rPr>
                <w:rFonts w:ascii="Arial" w:hAnsi="Arial" w:cs="Arial"/>
                <w:sz w:val="16"/>
                <w:szCs w:val="16"/>
              </w:rPr>
              <w:t> </w:t>
            </w: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absence požadovaných účetních dokladů vztahujících se k projektu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výdaj, který se váže k chybějícím účetním dokladům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870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26b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Porušení dalších povinností při uchovávání dokumentace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95-99%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dotace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870"/>
        </w:trPr>
        <w:tc>
          <w:tcPr>
            <w:tcW w:w="9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Ostatní pravidla uvedená v </w:t>
            </w:r>
            <w:proofErr w:type="spellStart"/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PpP</w:t>
            </w:r>
            <w:proofErr w:type="spellEnd"/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 výše neuvedená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27a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keepNext/>
              <w:tabs>
                <w:tab w:val="left" w:pos="851"/>
                <w:tab w:val="left" w:pos="1418"/>
                <w:tab w:val="left" w:pos="2703"/>
              </w:tabs>
              <w:spacing w:before="60" w:after="6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Neuzavření smlouvy s auditorem ve stanoveném termínu, byla-li smlouva uzavřena a auditní zpráva doložena.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keepNext/>
              <w:tabs>
                <w:tab w:val="left" w:pos="851"/>
                <w:tab w:val="left" w:pos="1418"/>
                <w:tab w:val="left" w:pos="2703"/>
              </w:tabs>
              <w:spacing w:before="60" w:after="60"/>
              <w:jc w:val="right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99%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keepNext/>
              <w:tabs>
                <w:tab w:val="left" w:pos="851"/>
                <w:tab w:val="left" w:pos="1418"/>
                <w:tab w:val="left" w:pos="2703"/>
              </w:tabs>
              <w:spacing w:before="60" w:after="60"/>
              <w:outlineLvl w:val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dotace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870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27b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Nedoložení externího auditu projektu, je-li tato povinnost stanovena.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7E07CC">
            <w:pPr>
              <w:keepNext/>
              <w:numPr>
                <w:ilvl w:val="2"/>
                <w:numId w:val="2"/>
              </w:numPr>
              <w:suppressAutoHyphens w:val="0"/>
              <w:spacing w:before="240" w:after="60"/>
              <w:jc w:val="right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90-</w:t>
            </w: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95 %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7E07CC">
            <w:pPr>
              <w:keepNext/>
              <w:numPr>
                <w:ilvl w:val="2"/>
                <w:numId w:val="2"/>
              </w:numPr>
              <w:suppressAutoHyphens w:val="0"/>
              <w:spacing w:before="240" w:after="60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dotace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960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Veřejné zakázky, které </w:t>
            </w:r>
            <w:proofErr w:type="spellStart"/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nepodlé-hají</w:t>
            </w:r>
            <w:proofErr w:type="spellEnd"/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 režimu zákona č. 137/2006 Sb., o veřejných zakázkách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28a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pStyle w:val="Odstavecseseznamem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>Neprovedení výběrového řízení na dodavatele, nebo uzavření smlouvy s dodavatelem, který se neúčastnil výběrového řízení.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96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28b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pStyle w:val="Odstavecseseznamem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>Stanovení předmětu veřejné zakázky diskriminačním způsobem.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70-75%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pStyle w:val="Default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7E07CC" w:rsidRPr="00E14F25" w:rsidRDefault="007E07CC" w:rsidP="006D5093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>(výše prominutí může být v méně závažných případech 90 – 95 %)</w:t>
            </w:r>
          </w:p>
        </w:tc>
      </w:tr>
      <w:tr w:rsidR="007E07CC" w:rsidRPr="00E14F25" w:rsidTr="006D5093">
        <w:trPr>
          <w:trHeight w:val="96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28c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pStyle w:val="Odstavecseseznamem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>Rozdělení předmětu veřejné zakázky a následně postup podle pravidel pro zakázky nižší kategorie.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60-75%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0% v případě, že zvolený postup vedl k zadání zakázky bez výběrového řízení</w:t>
            </w:r>
          </w:p>
        </w:tc>
      </w:tr>
      <w:tr w:rsidR="007E07CC" w:rsidRPr="00E14F25" w:rsidTr="006D5093">
        <w:trPr>
          <w:trHeight w:val="96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28d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pStyle w:val="Odstavecseseznamem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 xml:space="preserve">Porušení povinnosti uveřejnit oznámení o zahájený výběrového řízení či výzvy k podání nabídek požadovaným způsobem, příp. nedodržení lhůty pro podání nabídek.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60-75%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0% v </w:t>
            </w:r>
            <w:proofErr w:type="gramStart"/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případě,  kdy</w:t>
            </w:r>
            <w:proofErr w:type="gramEnd"/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 zadavatel neuveřejnil oznámení o</w:t>
            </w:r>
            <w:r w:rsidRPr="00E14F25">
              <w:rPr>
                <w:rFonts w:ascii="Arial" w:hAnsi="Arial" w:cs="Arial"/>
                <w:sz w:val="16"/>
                <w:szCs w:val="16"/>
              </w:rPr>
              <w:t> </w:t>
            </w: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zahájení výběrového řízení a ani neodeslal výzvu a</w:t>
            </w:r>
            <w:r w:rsidRPr="00E14F25">
              <w:rPr>
                <w:rFonts w:ascii="Arial" w:hAnsi="Arial" w:cs="Arial"/>
                <w:sz w:val="16"/>
                <w:szCs w:val="16"/>
              </w:rPr>
              <w:t> </w:t>
            </w: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došlo k zadání zakázky bez výběrového řízení</w:t>
            </w:r>
          </w:p>
        </w:tc>
      </w:tr>
      <w:tr w:rsidR="007E07CC" w:rsidRPr="00E14F25" w:rsidTr="006D5093">
        <w:trPr>
          <w:trHeight w:val="268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28e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pStyle w:val="Odstavecseseznamem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>Nedodržení požadavků na obsah oznámení o výběrovém řízení či výzvy k podání nabídek.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75 – 95%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96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28f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pStyle w:val="Odstavecseseznamem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>Porušení povinnosti v oblasti nastavení/použití kvalifikačních předpokladů a hodnotících kritérii.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70 - 75%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>(výše prominutí může být v méně závažných případech 90 – 95 %)</w:t>
            </w:r>
          </w:p>
        </w:tc>
      </w:tr>
      <w:tr w:rsidR="007E07CC" w:rsidRPr="00E14F25" w:rsidTr="006D5093">
        <w:trPr>
          <w:trHeight w:val="96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28g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pStyle w:val="Odstavecseseznamem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>Porušení zásady rovného zacházení.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75 - 90%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Je-li prokázán vliv na vývěr nejvhodnější </w:t>
            </w:r>
            <w:proofErr w:type="spellStart"/>
            <w:proofErr w:type="gramStart"/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nabídky,lze</w:t>
            </w:r>
            <w:proofErr w:type="spellEnd"/>
            <w:proofErr w:type="gramEnd"/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 prominout pouze 75%</w:t>
            </w:r>
          </w:p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96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28h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pStyle w:val="Odstavecseseznamem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>Přímé zadání dodatečné zakázky na stavební práce či služby při nesplnění podmínky objektivně nepředvídaných okolností (nepřesahuje-li součet hodnot dodatečných zakázek výši limitu pro veřejné zakázky malého rozsahu).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60 – 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pouze v případě, že celkový rozsah dodatečných zakázek nepřekročí 20% ceny původní zakázky</w:t>
            </w:r>
          </w:p>
        </w:tc>
      </w:tr>
      <w:tr w:rsidR="007E07CC" w:rsidRPr="00E14F25" w:rsidTr="006D5093">
        <w:trPr>
          <w:trHeight w:val="96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28i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pStyle w:val="Odstavecseseznamem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>Porušení povinnosti zrušit výběrové řízení a/nebo došlo k uzavření smlouvy s uchazečem, který měl při dodržení pravidel pro zadávání vyloučen z výběrového řízení.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50 – 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96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28j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pStyle w:val="Odstavecseseznamem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>Porušení stanovených povinnosti při uzavírání smlouvy s dodavatelem, či nedodržená požadavků na obsah smlouvy.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75 – 90%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96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28k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pStyle w:val="Odstavecseseznamem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 xml:space="preserve">Nesoulad mezi podmínkami v uzavřené smlouvě, příp. dodatku a podmínkami požadovanými v zadávacích podmínkách/podmínkách výběrového řízení, resp. uvedených v nabídce </w:t>
            </w:r>
            <w:r w:rsidRPr="00E14F25">
              <w:rPr>
                <w:rFonts w:ascii="Arial" w:hAnsi="Arial" w:cs="Arial"/>
                <w:sz w:val="16"/>
                <w:szCs w:val="16"/>
              </w:rPr>
              <w:lastRenderedPageBreak/>
              <w:t>vítězného uchazeče, a to i v těch případech, kdy k tomuto nesouladu došlo v důsledku uzavření dodatku ke smlouvě.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70 – 75%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E14F25">
              <w:rPr>
                <w:rFonts w:ascii="Arial" w:hAnsi="Arial" w:cs="Arial"/>
                <w:sz w:val="16"/>
                <w:szCs w:val="16"/>
              </w:rPr>
              <w:t xml:space="preserve">Výše </w:t>
            </w:r>
            <w:proofErr w:type="gramStart"/>
            <w:r w:rsidRPr="00E14F25">
              <w:rPr>
                <w:rFonts w:ascii="Arial" w:hAnsi="Arial" w:cs="Arial"/>
                <w:sz w:val="16"/>
                <w:szCs w:val="16"/>
              </w:rPr>
              <w:t xml:space="preserve">prominutí </w:t>
            </w: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 může</w:t>
            </w:r>
            <w:proofErr w:type="gramEnd"/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 být v méně závažných případech zvýšena na 90 – 95 %)</w:t>
            </w:r>
          </w:p>
        </w:tc>
      </w:tr>
      <w:tr w:rsidR="007E07CC" w:rsidRPr="00E14F25" w:rsidTr="006D5093">
        <w:trPr>
          <w:trHeight w:val="96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28l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pStyle w:val="Odstavecseseznamem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 xml:space="preserve">Hodnocení nabídek bylo provedeno v rozporu s popisem hodnotících kritérií uvedených ve výzvě k podání nabídek, nebo oznámení o zahájení výběrového řízení.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70 – 75%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E14F25">
              <w:rPr>
                <w:rFonts w:ascii="Arial" w:hAnsi="Arial" w:cs="Arial"/>
                <w:sz w:val="16"/>
                <w:szCs w:val="16"/>
              </w:rPr>
              <w:t xml:space="preserve">Výše </w:t>
            </w:r>
            <w:proofErr w:type="gramStart"/>
            <w:r w:rsidRPr="00E14F25">
              <w:rPr>
                <w:rFonts w:ascii="Arial" w:hAnsi="Arial" w:cs="Arial"/>
                <w:sz w:val="16"/>
                <w:szCs w:val="16"/>
              </w:rPr>
              <w:t xml:space="preserve">prominutí </w:t>
            </w: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 může</w:t>
            </w:r>
            <w:proofErr w:type="gramEnd"/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 být v méně závažných případech zvýšena na 90 – 95 %)</w:t>
            </w:r>
          </w:p>
        </w:tc>
      </w:tr>
      <w:tr w:rsidR="007E07CC" w:rsidRPr="00E14F25" w:rsidTr="006D5093">
        <w:trPr>
          <w:trHeight w:val="960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28m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pStyle w:val="Odstavecseseznamem"/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>Nedodržení jiných výslovně neuvedených povinností vyplývajících z právního aktu o poskytnutí dotace nebo z příručky pro příjemce finanční podpory z </w:t>
            </w:r>
            <w:proofErr w:type="gramStart"/>
            <w:r w:rsidRPr="00E14F25">
              <w:rPr>
                <w:rFonts w:ascii="Arial" w:hAnsi="Arial" w:cs="Arial"/>
                <w:sz w:val="16"/>
                <w:szCs w:val="16"/>
              </w:rPr>
              <w:t>OP</w:t>
            </w:r>
            <w:proofErr w:type="gramEnd"/>
            <w:r w:rsidRPr="00E14F25">
              <w:rPr>
                <w:rFonts w:ascii="Arial" w:hAnsi="Arial" w:cs="Arial"/>
                <w:sz w:val="16"/>
                <w:szCs w:val="16"/>
              </w:rPr>
              <w:t xml:space="preserve"> VK.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90 – 98%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>(Výše prominutí může být zvýšena až na 100% v případě, že dané porušení pravidel má pouze formální charakter bez případného finančního dopadu.</w:t>
            </w:r>
          </w:p>
        </w:tc>
      </w:tr>
      <w:tr w:rsidR="007E07CC" w:rsidRPr="00E14F25" w:rsidTr="006D509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28n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 xml:space="preserve">Nedodržení pravidel pro uchovávání dokumentů nezbytných ke kontrole průběhu administrace veřejné zakázky.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75-95%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28o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 xml:space="preserve">Nedodržení </w:t>
            </w:r>
            <w:bookmarkStart w:id="3" w:name="par147a"/>
            <w:r w:rsidRPr="00E14F25">
              <w:rPr>
                <w:rFonts w:ascii="Arial" w:hAnsi="Arial" w:cs="Arial"/>
                <w:sz w:val="16"/>
                <w:szCs w:val="16"/>
              </w:rPr>
              <w:t xml:space="preserve">povinnosti dané § 147a zákona č. 137/2006 Sb., o  veřejných  </w:t>
            </w:r>
            <w:proofErr w:type="gramStart"/>
            <w:r w:rsidRPr="00E14F25">
              <w:rPr>
                <w:rFonts w:ascii="Arial" w:hAnsi="Arial" w:cs="Arial"/>
                <w:sz w:val="16"/>
                <w:szCs w:val="16"/>
              </w:rPr>
              <w:t>zakázkách  (uveřejňování</w:t>
            </w:r>
            <w:proofErr w:type="gramEnd"/>
            <w:r w:rsidRPr="00E14F25">
              <w:rPr>
                <w:rFonts w:ascii="Arial" w:hAnsi="Arial" w:cs="Arial"/>
                <w:sz w:val="16"/>
                <w:szCs w:val="16"/>
              </w:rPr>
              <w:t xml:space="preserve"> smluv, výše skutečně uhrazené ceny a  seznamu subdodavatelů</w:t>
            </w:r>
            <w:bookmarkEnd w:id="3"/>
            <w:r w:rsidRPr="00E14F2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60 – 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V případě, že nebyla dodržena lhůta, ale ke zveřejnění došlo, pak výše prominutí může být zvýšena na 90 -98 %.</w:t>
            </w:r>
          </w:p>
        </w:tc>
      </w:tr>
      <w:tr w:rsidR="007E07CC" w:rsidRPr="00E14F25" w:rsidTr="006D5093">
        <w:trPr>
          <w:trHeight w:val="664"/>
        </w:trPr>
        <w:tc>
          <w:tcPr>
            <w:tcW w:w="9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Veřejné zakázky, které podléhají režimu zákona č. 137/2006 Sb., o veřejných zakázkách (dále jen „ZVZ“)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29a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>Neprovedení výběrového řízení na dodavatele, nebo uzavření smlouvy s dodavatelem, který se neúčastnil výběrového řízení.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29b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>Rozdělení předmětu veřejné zakázky a následně postup podle pravidel pro zakázky nižší kategorie.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60 – 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0% v případě, že zvolený postup vedl k zadání zakázky bez výběrového řízení.</w:t>
            </w:r>
          </w:p>
        </w:tc>
      </w:tr>
      <w:tr w:rsidR="007E07CC" w:rsidRPr="00E14F25" w:rsidTr="006D509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29c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 xml:space="preserve">Porušení povinnosti uveřejnit oznámení o zahájení zadávacího řízení (oznámení nebylo vůbec zveřejněno).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0%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29d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Porušení jiných povinností týkajících se uveřejňování, případně nedodržení lhůty pro podání nabídek.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60 – 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29e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Porušení povinnosti specifikovat v oznámení</w:t>
            </w:r>
            <w:r w:rsidRPr="00E14F25">
              <w:rPr>
                <w:rFonts w:ascii="Arial" w:hAnsi="Arial" w:cs="Arial"/>
                <w:sz w:val="16"/>
                <w:szCs w:val="16"/>
              </w:rPr>
              <w:t> či výzvě</w:t>
            </w: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 o</w:t>
            </w:r>
            <w:r w:rsidRPr="00E14F25">
              <w:rPr>
                <w:rFonts w:ascii="Arial" w:hAnsi="Arial" w:cs="Arial"/>
                <w:sz w:val="16"/>
                <w:szCs w:val="16"/>
              </w:rPr>
              <w:t> </w:t>
            </w: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zahájení zadávacího řízení kvalifikační předpoklady a hodnotící kritéria v rozsahu požadovaném ZVZ.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70 – 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>(Výše prominutí může být zvýšena až na 90% - 95% v méně závažných případech.)</w:t>
            </w:r>
          </w:p>
        </w:tc>
      </w:tr>
      <w:tr w:rsidR="007E07CC" w:rsidRPr="00E14F25" w:rsidTr="006D509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29f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Nastavení kvalifikačních předpokladů a hodnotících kritérií v rozporu se ZVZ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a) 0%</w:t>
            </w:r>
          </w:p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b) 70 – 75%</w:t>
            </w:r>
          </w:p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a) Odvod za porušení nesmí být prominut v případě úmyslného jednání.</w:t>
            </w:r>
          </w:p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b)</w:t>
            </w:r>
            <w:r w:rsidRPr="00E14F25">
              <w:rPr>
                <w:rFonts w:ascii="Arial" w:hAnsi="Arial" w:cs="Arial"/>
                <w:sz w:val="16"/>
                <w:szCs w:val="16"/>
              </w:rPr>
              <w:t xml:space="preserve">Výše prominutí </w:t>
            </w: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může být zvýšena až na 75 – 95% v případě, že použití nezákonného hodnotícího kritéria nevedlo k odrazení některého dodavatele.</w:t>
            </w:r>
          </w:p>
        </w:tc>
      </w:tr>
      <w:tr w:rsidR="007E07CC" w:rsidRPr="00E14F25" w:rsidTr="006D509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29g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Porušení povinnosti stanovit předmět veřejné zakázky nediskriminační způsobem, nebo nedostatečné definování předmětu veřejné zakázky v oznámení/výzvě o zahájené zadávacího řízení nebo v zadávací dokumentaci.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70 – 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E14F25">
              <w:rPr>
                <w:rFonts w:ascii="Arial" w:hAnsi="Arial" w:cs="Arial"/>
                <w:sz w:val="16"/>
                <w:szCs w:val="16"/>
              </w:rPr>
              <w:t>Výše prominutí může být zvýšena až na 90% - 95% v méně závažných případech.)</w:t>
            </w:r>
          </w:p>
        </w:tc>
      </w:tr>
      <w:tr w:rsidR="007E07CC" w:rsidRPr="00E14F25" w:rsidTr="006D509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29h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>Hodnocení nabídek bylo provedeno v rozporu s uveřejněnými kvalifikačními předpoklady, hodnotícími kritérii nebo se zadávací dokumentací.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70 -75 %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E14F25">
              <w:rPr>
                <w:rFonts w:ascii="Arial" w:hAnsi="Arial" w:cs="Arial"/>
                <w:sz w:val="16"/>
                <w:szCs w:val="16"/>
              </w:rPr>
              <w:t>Výše prominutí může být zvýšena až na 90% - 95% v méně závažných případech.)</w:t>
            </w:r>
          </w:p>
        </w:tc>
      </w:tr>
      <w:tr w:rsidR="007E07CC" w:rsidRPr="00E14F25" w:rsidTr="006D509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29i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Zadavatel se dopustil nezákonného vyjednávání o</w:t>
            </w:r>
            <w:r w:rsidRPr="00E14F25">
              <w:rPr>
                <w:rFonts w:ascii="Arial" w:hAnsi="Arial" w:cs="Arial"/>
                <w:sz w:val="16"/>
                <w:szCs w:val="16"/>
              </w:rPr>
              <w:t> </w:t>
            </w: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nabídkách nebo uzavřel dodatek ke smlouvě, který je v rozporu se zadávacími podmínkami nebo vítěznou nabídkou.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70 -75%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>(Výše prominutí může být zvýšena až na 90% - 95% v méně závažných případech.)</w:t>
            </w:r>
          </w:p>
        </w:tc>
      </w:tr>
      <w:tr w:rsidR="007E07CC" w:rsidRPr="00E14F25" w:rsidTr="006D509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29j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>Porušení zásady rovného zacházení.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70 -75 %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29k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Porušení povinnosti stanovit hodnotící komici pro posouzení a</w:t>
            </w:r>
            <w:r w:rsidRPr="00E14F25">
              <w:rPr>
                <w:rFonts w:ascii="Arial" w:hAnsi="Arial" w:cs="Arial"/>
                <w:sz w:val="16"/>
                <w:szCs w:val="16"/>
              </w:rPr>
              <w:t> </w:t>
            </w: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hodnocení nabídek.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70 -75 %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29l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Porušení pravidel stanovených ZVZ pro složení nebo jednání hodnotící komise pro posouzení a hodnocení nabídek.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90 – 98%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29m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Porušení povinnosti zrušit výběrové/zadávací řízení v případě, kdy byly naplněny podmínky § 84 odst. 1 ZVZ.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70 -75%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29n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Došlo k uzavření smlouvy s uchazečem, který měl být podle ZVZ vyloučen ze zadávacího řízení.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50 – 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29o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Došlo k nezákonnému vyloučení zájemce/uchazeče ze zadávacího řízení.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70 -75%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>(Výše prominutí může být zvýšena až na 90% - 95% v méně závažných případech.)</w:t>
            </w:r>
          </w:p>
        </w:tc>
      </w:tr>
      <w:tr w:rsidR="007E07CC" w:rsidRPr="00E14F25" w:rsidTr="006D509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29p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Vyhlášení jednacího řízení bez uveřejnění v rozporu s podmínkami v ZVZ.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0%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29q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Porušení povinnosti nepřekročit celkový rozsah dodatečných stavebních prací nebo služeb nad 20% ceny původní veřejné zakázky v případě veřejných zakázek zadaných v jednacím řízení bez uveřejnění na dodatečné stavební práce a</w:t>
            </w:r>
            <w:r w:rsidRPr="00E14F25">
              <w:rPr>
                <w:rFonts w:ascii="Arial" w:hAnsi="Arial" w:cs="Arial"/>
                <w:sz w:val="16"/>
                <w:szCs w:val="16"/>
              </w:rPr>
              <w:t> </w:t>
            </w: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služby.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celková hodnota dodatečné zakázky převyšující 20% ceny původní veřejné zakázky/předložený výdaj z dodatečné zakázky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29r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Došlo k jinému závažnému porušení pravidel pro zadávání veřejných zakázek, které mělo nebo mohlo mít vlit na výběr nejvhodnější nabídky.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70 -75%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29s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Porušení méně závažných výše výslovně neuvedených povinností vyplývajících ze ZVZ.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90 -98%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>(Výše prominutí může být zvýšena až na 100% v případě, že dané porušení pravidel má pouze formální charakter bez případného finančního dopadu.)</w:t>
            </w:r>
          </w:p>
        </w:tc>
      </w:tr>
      <w:tr w:rsidR="007E07CC" w:rsidRPr="00E14F25" w:rsidTr="006D5093">
        <w:trPr>
          <w:trHeight w:val="664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29t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sz w:val="16"/>
                <w:szCs w:val="16"/>
              </w:rPr>
              <w:t>Nedodržení pravidel pro uchovávání dokumentů nezbytných ke kontrole průběhu administrace veřejné zakázky.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75 – 95%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předložený výdaj z VŘ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735"/>
        </w:trPr>
        <w:tc>
          <w:tcPr>
            <w:tcW w:w="9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Podstatná změna </w:t>
            </w:r>
          </w:p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30a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provedení podstatné změny projektu bez schválení poskytovatelem – v případě, kdy provedení změny není bezprostředně vázáno na uskutečněný výdaj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95 – 99%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dotace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V případě, kdy je provedení podstatné změny spojeno s výdajem, posuzuje se vznik NES/PRK ve vztahu k tomuto výdaji.</w:t>
            </w:r>
          </w:p>
        </w:tc>
      </w:tr>
      <w:tr w:rsidR="007E07CC" w:rsidRPr="00E14F25" w:rsidTr="006D5093">
        <w:trPr>
          <w:trHeight w:val="735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30b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provedení podstatné změny projektu bez schválení poskytovatelem – v případě, že by podstatná změna nebyla schválena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dotace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Týká se tzv. zakázaných podstatných změn – např. změna cílů projektu nebo změna mající vliv na možnost získat dotaci/být příjemcem.</w:t>
            </w:r>
          </w:p>
        </w:tc>
      </w:tr>
      <w:tr w:rsidR="007E07CC" w:rsidRPr="00E14F25" w:rsidTr="006D5093">
        <w:trPr>
          <w:trHeight w:val="735"/>
        </w:trPr>
        <w:tc>
          <w:tcPr>
            <w:tcW w:w="9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Monitorovací indikátory</w:t>
            </w:r>
            <w:r w:rsidRPr="00E14F25">
              <w:rPr>
                <w:rStyle w:val="Znakapoznpodarou"/>
                <w:rFonts w:ascii="Arial" w:hAnsi="Arial" w:cs="Arial"/>
                <w:color w:val="000000"/>
                <w:sz w:val="16"/>
                <w:szCs w:val="16"/>
              </w:rPr>
              <w:footnoteReference w:id="3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31a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nenaplnění cílové hodnoty monitorovacích indikátorů -  nenaplnění indikátorů o více než 50 %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dotace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495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31b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nenaplnění cílové hodnoty monitorovacích indikátorů - neoprávněné použití dotace lze konkrétně vyčíslit (lze přesně vyčíslit hodnotu nedodrženého indikátoru) a odvod je uložen v dané konkrétní výši. Zároveň platí, že hodnota indikátorů byla naplněna minimálně z 50 %.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částka týkající se nenaplněného indikátoru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495"/>
        </w:trPr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31c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nenaplnění cílové hodnoty monitorovacích indikátorů - neoprávněné použití dotace nelze konkrétně vyčíslit (nelze přesně vyčíslit hodnotu nedodrženého indikátoru) a odvod je uložen ve výši poskytnutých prostředků. Zároveň platí, že hodnota indikátorů byla naplněna minimálně z 50 %.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Procento prominutí bude odpovídat míře naplnění hodnot </w:t>
            </w:r>
            <w:proofErr w:type="gramStart"/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MI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dotace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Míra splnění hodnoty monitorovacího indikátoru se počítá způsobem aritmetického průměru procentního naplnění každého z monitorovacích indikátorů, ke kterým se příjemce zavázal ve smlouvě (zaokrouhlená matematicky na dvě desetinná místa). Při naplnění monitorovacího indikátoru nad hodnotu uvedenou ve smlouvě odpovídá míra naplnění tohoto MI 100 %. Míra dosažení indikátoru 07.41.20 Počet podpořených osob - poskytovatelé služeb je vždy 100 % bez ohledu na jeho skutečně dosaženou hodnotu.</w:t>
            </w:r>
            <w:r w:rsidRPr="00E14F25">
              <w:rPr>
                <w:rStyle w:val="Znakapoznpodarou"/>
                <w:rFonts w:ascii="Arial" w:hAnsi="Arial" w:cs="Arial"/>
                <w:color w:val="000000"/>
                <w:sz w:val="16"/>
                <w:szCs w:val="16"/>
              </w:rPr>
              <w:footnoteReference w:id="4"/>
            </w:r>
          </w:p>
        </w:tc>
      </w:tr>
      <w:tr w:rsidR="007E07CC" w:rsidRPr="00E14F25" w:rsidTr="006D5093">
        <w:trPr>
          <w:trHeight w:val="495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31d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nenaplnění cílové hodnoty indikátoru 07.41.20 Počet podpořených osob - poskytovatelé služeb.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částka týkající se nenaplněného indikátoru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49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49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Součinnost s poskytovatelem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Del="00B65057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neposkytnutí povinné součinnosti poskytovateli/ŘO např. neoznámení změny projektu, neposkytnutí ZS/ŘO vyžádaných dokladů a informací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95-99%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dotace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E07CC" w:rsidRPr="00E14F25" w:rsidTr="006D5093">
        <w:trPr>
          <w:trHeight w:val="49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Skutečnosti nezávislé na vůli příjemce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porušení povinnosti z důvodu živelních katastrof (povodeň, vichřice atd.), prokázané chyby poskytovatele, vlivem státem změněné situace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Dotace/výše dotčených výdajů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7CC" w:rsidRPr="00E14F25" w:rsidRDefault="007E07CC" w:rsidP="006D509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14F2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7E07CC" w:rsidRPr="00E14F25" w:rsidRDefault="007E07CC" w:rsidP="007E07CC">
      <w:pPr>
        <w:spacing w:line="276" w:lineRule="auto"/>
        <w:rPr>
          <w:rFonts w:ascii="Arial" w:hAnsi="Arial" w:cs="Arial"/>
          <w:sz w:val="16"/>
          <w:szCs w:val="16"/>
        </w:rPr>
      </w:pPr>
    </w:p>
    <w:p w:rsidR="007E07CC" w:rsidRPr="00E14F25" w:rsidRDefault="007E07CC" w:rsidP="007E07CC">
      <w:pPr>
        <w:spacing w:line="276" w:lineRule="auto"/>
        <w:rPr>
          <w:rFonts w:ascii="Arial" w:hAnsi="Arial" w:cs="Arial"/>
          <w:sz w:val="16"/>
          <w:szCs w:val="16"/>
        </w:rPr>
      </w:pPr>
      <w:r w:rsidRPr="00E14F25">
        <w:rPr>
          <w:rFonts w:ascii="Arial" w:hAnsi="Arial" w:cs="Arial"/>
          <w:sz w:val="16"/>
          <w:szCs w:val="16"/>
        </w:rPr>
        <w:t>Vysvětlení pojmů:</w:t>
      </w:r>
    </w:p>
    <w:p w:rsidR="007E07CC" w:rsidRPr="00E14F25" w:rsidRDefault="007E07CC" w:rsidP="007E07CC">
      <w:pPr>
        <w:spacing w:line="276" w:lineRule="auto"/>
        <w:rPr>
          <w:rFonts w:ascii="Arial" w:hAnsi="Arial" w:cs="Arial"/>
          <w:sz w:val="16"/>
          <w:szCs w:val="16"/>
        </w:rPr>
      </w:pPr>
      <w:r w:rsidRPr="00E14F25">
        <w:rPr>
          <w:rFonts w:ascii="Arial" w:hAnsi="Arial" w:cs="Arial"/>
          <w:sz w:val="16"/>
          <w:szCs w:val="16"/>
        </w:rPr>
        <w:t>Dotace = částka dosud poskytnutých finančních prostředků</w:t>
      </w:r>
    </w:p>
    <w:p w:rsidR="007E07CC" w:rsidRPr="00E14F25" w:rsidRDefault="007E07CC" w:rsidP="007E07CC">
      <w:pPr>
        <w:spacing w:line="276" w:lineRule="auto"/>
        <w:rPr>
          <w:rFonts w:ascii="Arial" w:hAnsi="Arial" w:cs="Arial"/>
          <w:sz w:val="16"/>
          <w:szCs w:val="16"/>
        </w:rPr>
      </w:pPr>
      <w:r w:rsidRPr="00E14F25">
        <w:rPr>
          <w:rFonts w:ascii="Arial" w:hAnsi="Arial" w:cs="Arial"/>
          <w:sz w:val="16"/>
          <w:szCs w:val="16"/>
        </w:rPr>
        <w:lastRenderedPageBreak/>
        <w:t>Vrácení finančních prostředků = jejich odepsání z účtu příjemce</w:t>
      </w:r>
    </w:p>
    <w:p w:rsidR="007E07CC" w:rsidRPr="00E14F25" w:rsidRDefault="007E07CC" w:rsidP="007E07CC">
      <w:pPr>
        <w:spacing w:line="276" w:lineRule="auto"/>
        <w:rPr>
          <w:rFonts w:ascii="Arial" w:hAnsi="Arial" w:cs="Arial"/>
          <w:sz w:val="16"/>
          <w:szCs w:val="16"/>
        </w:rPr>
      </w:pPr>
      <w:r w:rsidRPr="00E14F25">
        <w:rPr>
          <w:rFonts w:ascii="Arial" w:hAnsi="Arial" w:cs="Arial"/>
          <w:sz w:val="16"/>
          <w:szCs w:val="16"/>
        </w:rPr>
        <w:t xml:space="preserve">Za vrácení finančních prostředků se pro účely prominutí odvodu považuje mimo vrácení na projektový účet rovněž vrácení prostředků do </w:t>
      </w:r>
      <w:r w:rsidRPr="00E14F25">
        <w:rPr>
          <w:rFonts w:ascii="Arial" w:hAnsi="Arial" w:cs="Arial"/>
          <w:sz w:val="16"/>
          <w:szCs w:val="16"/>
          <w:u w:val="single"/>
        </w:rPr>
        <w:t>projektové</w:t>
      </w:r>
      <w:r w:rsidRPr="00E14F25">
        <w:rPr>
          <w:rFonts w:ascii="Arial" w:hAnsi="Arial" w:cs="Arial"/>
          <w:sz w:val="16"/>
          <w:szCs w:val="16"/>
        </w:rPr>
        <w:t xml:space="preserve"> pokladny, vč. uznání splnění termínu pro vrácení.</w:t>
      </w:r>
    </w:p>
    <w:p w:rsidR="007E07CC" w:rsidRPr="00E14F25" w:rsidRDefault="007E07CC" w:rsidP="007E07CC">
      <w:pPr>
        <w:pStyle w:val="Titulek"/>
        <w:rPr>
          <w:rFonts w:ascii="Arial" w:hAnsi="Arial" w:cs="Arial"/>
          <w:b w:val="0"/>
          <w:sz w:val="16"/>
          <w:szCs w:val="16"/>
        </w:rPr>
      </w:pPr>
    </w:p>
    <w:p w:rsidR="007E07CC" w:rsidRPr="00E14F25" w:rsidRDefault="007E07CC" w:rsidP="007E07CC">
      <w:pPr>
        <w:pStyle w:val="Titulek"/>
        <w:jc w:val="both"/>
        <w:rPr>
          <w:rFonts w:ascii="Arial" w:hAnsi="Arial" w:cs="Arial"/>
          <w:b w:val="0"/>
          <w:sz w:val="16"/>
          <w:szCs w:val="16"/>
        </w:rPr>
      </w:pPr>
      <w:r w:rsidRPr="00E14F25">
        <w:rPr>
          <w:rFonts w:ascii="Arial" w:hAnsi="Arial" w:cs="Arial"/>
          <w:b w:val="0"/>
          <w:sz w:val="16"/>
          <w:szCs w:val="16"/>
        </w:rPr>
        <w:t>V případě, že projekt je financován v rámci systému nepřímých nákladů, pak při prominutí přímého nákladu (nebo jeho části) je současně promíjen i s ním spojený náklad nepřímý (nebo jeho část poměrově odpovídající částečnému prominutí nákladu přímého).</w:t>
      </w:r>
    </w:p>
    <w:p w:rsidR="009D5019" w:rsidRDefault="009D5019"/>
    <w:sectPr w:rsidR="009D5019" w:rsidSect="006565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23F" w:rsidRDefault="009E023F" w:rsidP="007E07CC">
      <w:r>
        <w:separator/>
      </w:r>
    </w:p>
  </w:endnote>
  <w:endnote w:type="continuationSeparator" w:id="0">
    <w:p w:rsidR="009E023F" w:rsidRDefault="009E023F" w:rsidP="007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6679FD" w:rsidRDefault="00EA2EED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E07CC">
      <w:rPr>
        <w:rFonts w:ascii="Arial" w:hAnsi="Arial" w:cs="Arial"/>
        <w:i/>
        <w:sz w:val="20"/>
        <w:szCs w:val="20"/>
      </w:rPr>
      <w:t xml:space="preserve"> Olomouckého kraje </w:t>
    </w:r>
    <w:r w:rsidR="00BB3F75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0</w:t>
    </w:r>
    <w:r w:rsidR="007E07CC">
      <w:rPr>
        <w:rFonts w:ascii="Arial" w:hAnsi="Arial" w:cs="Arial"/>
        <w:i/>
        <w:sz w:val="20"/>
        <w:szCs w:val="20"/>
      </w:rPr>
      <w:t>. </w:t>
    </w:r>
    <w:r>
      <w:rPr>
        <w:rFonts w:ascii="Arial" w:hAnsi="Arial" w:cs="Arial"/>
        <w:i/>
        <w:sz w:val="20"/>
        <w:szCs w:val="20"/>
      </w:rPr>
      <w:t>6</w:t>
    </w:r>
    <w:r w:rsidR="007E07CC">
      <w:rPr>
        <w:rFonts w:ascii="Arial" w:hAnsi="Arial" w:cs="Arial"/>
        <w:i/>
        <w:sz w:val="20"/>
        <w:szCs w:val="20"/>
      </w:rPr>
      <w:t>. 2014</w:t>
    </w:r>
    <w:r w:rsidR="007E07CC">
      <w:rPr>
        <w:rFonts w:ascii="Arial" w:hAnsi="Arial" w:cs="Arial"/>
        <w:i/>
        <w:sz w:val="20"/>
        <w:szCs w:val="20"/>
      </w:rPr>
      <w:tab/>
    </w:r>
    <w:r w:rsidR="007E07CC">
      <w:rPr>
        <w:rFonts w:ascii="Arial" w:hAnsi="Arial" w:cs="Arial"/>
        <w:i/>
        <w:sz w:val="20"/>
        <w:szCs w:val="20"/>
      </w:rPr>
      <w:tab/>
    </w:r>
    <w:r w:rsidR="007E07CC" w:rsidRPr="006679FD">
      <w:rPr>
        <w:rFonts w:ascii="Arial" w:hAnsi="Arial" w:cs="Arial"/>
        <w:i/>
        <w:sz w:val="20"/>
        <w:szCs w:val="20"/>
      </w:rPr>
      <w:t xml:space="preserve">Strana 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begin"/>
    </w:r>
    <w:r w:rsidR="007E07CC" w:rsidRPr="00C97E8C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15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end"/>
    </w:r>
    <w:r w:rsidR="007E07CC" w:rsidRPr="006679FD">
      <w:rPr>
        <w:rStyle w:val="slostrnky"/>
        <w:rFonts w:ascii="Arial" w:hAnsi="Arial" w:cs="Arial"/>
        <w:i/>
        <w:sz w:val="20"/>
        <w:szCs w:val="20"/>
      </w:rPr>
      <w:t xml:space="preserve"> (</w:t>
    </w:r>
    <w:r w:rsidR="007E07CC" w:rsidRPr="006679FD">
      <w:rPr>
        <w:rFonts w:ascii="Arial" w:hAnsi="Arial" w:cs="Arial"/>
        <w:i/>
        <w:sz w:val="20"/>
        <w:szCs w:val="20"/>
      </w:rPr>
      <w:t>celkem</w:t>
    </w:r>
    <w:r w:rsidR="0067695C">
      <w:rPr>
        <w:rFonts w:ascii="Arial" w:hAnsi="Arial" w:cs="Arial"/>
        <w:i/>
        <w:sz w:val="20"/>
        <w:szCs w:val="20"/>
      </w:rPr>
      <w:t xml:space="preserve"> </w:t>
    </w:r>
    <w:r w:rsidR="00F70DDB">
      <w:rPr>
        <w:rFonts w:ascii="Arial" w:hAnsi="Arial" w:cs="Arial"/>
        <w:i/>
        <w:sz w:val="20"/>
        <w:szCs w:val="20"/>
      </w:rPr>
      <w:t>3</w:t>
    </w:r>
    <w:r>
      <w:rPr>
        <w:rFonts w:ascii="Arial" w:hAnsi="Arial" w:cs="Arial"/>
        <w:i/>
        <w:sz w:val="20"/>
        <w:szCs w:val="20"/>
      </w:rPr>
      <w:t>2</w:t>
    </w:r>
    <w:r w:rsidR="007E07CC" w:rsidRPr="006679FD">
      <w:rPr>
        <w:rFonts w:ascii="Arial" w:hAnsi="Arial" w:cs="Arial"/>
        <w:i/>
        <w:sz w:val="20"/>
        <w:szCs w:val="20"/>
      </w:rPr>
      <w:t>)</w:t>
    </w:r>
  </w:p>
  <w:p w:rsidR="007E07CC" w:rsidRDefault="00EA2EED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20</w:t>
    </w:r>
    <w:r w:rsidR="007D3DFB" w:rsidRPr="005E5861">
      <w:rPr>
        <w:rFonts w:ascii="Arial" w:hAnsi="Arial" w:cs="Arial"/>
        <w:i/>
        <w:sz w:val="20"/>
        <w:szCs w:val="20"/>
      </w:rPr>
      <w:t>.</w:t>
    </w:r>
    <w:r w:rsidR="007D3DFB">
      <w:rPr>
        <w:rFonts w:ascii="Arial" w:hAnsi="Arial" w:cs="Arial"/>
        <w:i/>
        <w:sz w:val="20"/>
        <w:szCs w:val="20"/>
      </w:rPr>
      <w:t xml:space="preserve"> </w:t>
    </w:r>
    <w:r w:rsidR="007E07CC">
      <w:rPr>
        <w:rFonts w:ascii="Arial" w:hAnsi="Arial" w:cs="Arial"/>
        <w:i/>
        <w:sz w:val="20"/>
        <w:szCs w:val="20"/>
      </w:rPr>
      <w:t>– Plnění podmínek Smluv o realizaci grantových projektů u příjemců finanční podpory v rámci globálních grantů Operačního programu Vzdělávání pro konkurenceschopnost</w:t>
    </w:r>
  </w:p>
  <w:p w:rsidR="007E07CC" w:rsidRDefault="007E07CC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 w:rsidRPr="00ED33D8">
      <w:rPr>
        <w:rFonts w:ascii="Arial" w:hAnsi="Arial" w:cs="Arial"/>
        <w:i/>
        <w:sz w:val="20"/>
        <w:szCs w:val="20"/>
      </w:rPr>
      <w:t xml:space="preserve">Příloha č. 1 – </w:t>
    </w:r>
    <w:r w:rsidRPr="00ED33D8">
      <w:rPr>
        <w:rFonts w:ascii="Arial" w:hAnsi="Arial" w:cs="Arial"/>
        <w:i/>
        <w:sz w:val="20"/>
        <w:szCs w:val="20"/>
      </w:rPr>
      <w:tab/>
      <w:t>Sazebník pro stanovování výše prominutí povinnosti odvodu za porušení rozpočtové kázně a výklad jeho jednotlivých položek</w:t>
    </w:r>
    <w:r>
      <w:rPr>
        <w:rFonts w:ascii="Arial" w:hAnsi="Arial" w:cs="Arial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23F" w:rsidRDefault="009E023F" w:rsidP="007E07CC">
      <w:r>
        <w:separator/>
      </w:r>
    </w:p>
  </w:footnote>
  <w:footnote w:type="continuationSeparator" w:id="0">
    <w:p w:rsidR="009E023F" w:rsidRDefault="009E023F" w:rsidP="007E07CC">
      <w:r>
        <w:continuationSeparator/>
      </w:r>
    </w:p>
  </w:footnote>
  <w:footnote w:id="1">
    <w:p w:rsidR="007E07CC" w:rsidRDefault="007E07CC" w:rsidP="007E07CC">
      <w:pPr>
        <w:pStyle w:val="Textpoznpodarou"/>
      </w:pPr>
      <w:r>
        <w:rPr>
          <w:rStyle w:val="Znakapoznpodarou"/>
        </w:rPr>
        <w:footnoteRef/>
      </w:r>
      <w:r>
        <w:t xml:space="preserve"> Sazby či procentní rozmezí pro možnost prominutí odvodu za PRK představují maximální částku, kterou lze z prostředků OP VK financovat. ZS si mohou v rámci interních postupů sazby upravit, ale pouze za předpokladu přísnějšího postihu porušitele rozpočtové kázně.</w:t>
      </w:r>
    </w:p>
  </w:footnote>
  <w:footnote w:id="2">
    <w:p w:rsidR="007E07CC" w:rsidRPr="007271A9" w:rsidRDefault="007E07CC" w:rsidP="007E07CC">
      <w:pPr>
        <w:pStyle w:val="Textpoznpodarou"/>
      </w:pPr>
      <w:r>
        <w:rPr>
          <w:rStyle w:val="Znakapoznpodarou"/>
        </w:rPr>
        <w:footnoteRef/>
      </w:r>
      <w:r>
        <w:t xml:space="preserve"> V případě, že je stanoveno procentuální rozmezí, pak konkrétní procentní </w:t>
      </w:r>
      <w:r w:rsidRPr="007271A9">
        <w:t>sazbu zvolí poskytovatel s </w:t>
      </w:r>
      <w:r w:rsidRPr="00E406BB">
        <w:t>přihlédnutím k individuálním okolnostem daného případu a míře pochybení příjemce.</w:t>
      </w:r>
    </w:p>
  </w:footnote>
  <w:footnote w:id="3">
    <w:p w:rsidR="007E07CC" w:rsidRPr="00612A1E" w:rsidRDefault="007E07CC" w:rsidP="007E07CC">
      <w:pPr>
        <w:pStyle w:val="Textpoznpodarou"/>
      </w:pPr>
      <w:r>
        <w:rPr>
          <w:rStyle w:val="Znakapoznpodarou"/>
        </w:rPr>
        <w:footnoteRef/>
      </w:r>
      <w:r>
        <w:t xml:space="preserve"> Pro úplnost je nutno uvést, že s</w:t>
      </w:r>
      <w:r w:rsidRPr="00F75BA5">
        <w:t xml:space="preserve">tanovení cílových hodnot monitorovacích indikátorů dle pohlaví v projektové </w:t>
      </w:r>
      <w:r>
        <w:t>ž</w:t>
      </w:r>
      <w:r w:rsidRPr="00F75BA5">
        <w:t xml:space="preserve">ádosti je na relevantních oblastech podpory pouze orientační a jejich nenaplnění není </w:t>
      </w:r>
      <w:proofErr w:type="spellStart"/>
      <w:r w:rsidRPr="00F75BA5">
        <w:t>sankcionovatelné</w:t>
      </w:r>
      <w:proofErr w:type="spellEnd"/>
      <w:r w:rsidRPr="00F75BA5">
        <w:t>, tj. nejedná se o porušení rozpočtové kázně</w:t>
      </w:r>
      <w:r>
        <w:t>, viz Metodika monitorovacích indikátorů.</w:t>
      </w:r>
    </w:p>
  </w:footnote>
  <w:footnote w:id="4">
    <w:p w:rsidR="007E07CC" w:rsidRPr="00A27CB8" w:rsidRDefault="007E07CC" w:rsidP="007E07CC">
      <w:pPr>
        <w:pStyle w:val="Textpoznpodarou"/>
      </w:pPr>
      <w:r>
        <w:rPr>
          <w:rStyle w:val="Znakapoznpodarou"/>
        </w:rPr>
        <w:footnoteRef/>
      </w:r>
      <w:r>
        <w:t xml:space="preserve"> Důvodem je skutečnost, že</w:t>
      </w:r>
      <w:r w:rsidRPr="00F75BA5">
        <w:t xml:space="preserve"> indikátor nevypovídá o kvalitě projektu nebo dosažených výsledcích a výstupech, jedná se o statistický indikátor.</w:t>
      </w:r>
      <w:r>
        <w:t xml:space="preserve"> I přes tuto skutečnost je nutné nedodržení tohoto indikátoru identifikovat jako porušení rozpočtové kázně, protože se jedná o porušení povinnosti stanovené smlouvou. Avšak z výše uvedeného důvodu je v případě tohoto MI možné odvod prominout ze 100 %.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Default="007E07CC">
    <w:pPr>
      <w:pStyle w:val="Zhlav"/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1 – </w:t>
    </w:r>
    <w:r w:rsidRPr="00801A79">
      <w:rPr>
        <w:rFonts w:ascii="Arial" w:hAnsi="Arial" w:cs="Arial"/>
        <w:i/>
      </w:rPr>
      <w:tab/>
      <w:t>Sazebník pro stanovování výše prominutí povinnosti odvodu za porušení rozpočtové kázně a výklad jeho jednotlivých položek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F7663AC"/>
    <w:multiLevelType w:val="multilevel"/>
    <w:tmpl w:val="E1948C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269"/>
        </w:tabs>
        <w:ind w:left="32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CC"/>
    <w:rsid w:val="00037469"/>
    <w:rsid w:val="001424F2"/>
    <w:rsid w:val="00384A19"/>
    <w:rsid w:val="0065650D"/>
    <w:rsid w:val="0067695C"/>
    <w:rsid w:val="007D3DFB"/>
    <w:rsid w:val="007E07CC"/>
    <w:rsid w:val="0092676F"/>
    <w:rsid w:val="009D5019"/>
    <w:rsid w:val="009E023F"/>
    <w:rsid w:val="00BB3F75"/>
    <w:rsid w:val="00E9551F"/>
    <w:rsid w:val="00EA2EED"/>
    <w:rsid w:val="00F70DDB"/>
    <w:rsid w:val="00FD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2548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Russnák Ivan</dc:creator>
  <cp:keywords/>
  <dc:description/>
  <cp:lastModifiedBy>Hrubý Martin</cp:lastModifiedBy>
  <cp:revision>14</cp:revision>
  <dcterms:created xsi:type="dcterms:W3CDTF">2014-03-20T22:20:00Z</dcterms:created>
  <dcterms:modified xsi:type="dcterms:W3CDTF">2014-06-02T10:38:00Z</dcterms:modified>
</cp:coreProperties>
</file>